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kern w:val="0"/>
          <w:sz w:val="21"/>
          <w:szCs w:val="20"/>
        </w:rPr>
        <w:id w:val="147462217"/>
        <w:docPartObj>
          <w:docPartGallery w:val="Table of Contents"/>
          <w:docPartUnique/>
        </w:docPartObj>
      </w:sdtPr>
      <w:sdtEndPr>
        <w:rPr>
          <w:rFonts w:ascii="Cambria" w:hAnsi="Cambria" w:eastAsia="宋体"/>
          <w:b/>
          <w:bCs/>
          <w:kern w:val="0"/>
          <w:sz w:val="21"/>
          <w:szCs w:val="20"/>
        </w:rPr>
      </w:sdtEndPr>
      <w:sdtContent>
        <w:p>
          <w:pPr>
            <w:spacing w:before="0" w:beforeLines="0" w:after="0" w:afterLines="0" w:line="240" w:lineRule="auto"/>
            <w:ind w:left="0" w:leftChars="0" w:right="0" w:rightChars="0" w:firstLine="0" w:firstLineChars="0"/>
            <w:jc w:val="center"/>
          </w:pPr>
          <w:bookmarkStart w:id="0" w:name="_Toc497307424"/>
          <w:bookmarkStart w:id="1" w:name="_Toc8610"/>
          <w:r>
            <w:rPr>
              <w:rFonts w:ascii="宋体" w:hAnsi="宋体" w:eastAsia="宋体"/>
              <w:sz w:val="21"/>
            </w:rPr>
            <w:t>目</w:t>
          </w:r>
          <w:r>
            <w:rPr>
              <w:rFonts w:hint="eastAsia" w:ascii="宋体" w:hAnsi="宋体" w:eastAsia="宋体"/>
              <w:sz w:val="21"/>
              <w:lang w:val="en-US" w:eastAsia="zh-CN"/>
            </w:rPr>
            <w:t xml:space="preserve">   </w:t>
          </w:r>
          <w:r>
            <w:rPr>
              <w:rFonts w:ascii="宋体" w:hAnsi="宋体" w:eastAsia="宋体"/>
              <w:sz w:val="21"/>
            </w:rPr>
            <w:t>录</w:t>
          </w:r>
        </w:p>
        <w:p>
          <w:pPr>
            <w:pStyle w:val="17"/>
            <w:tabs>
              <w:tab w:val="right" w:leader="dot" w:pos="6979"/>
              <w:tab w:val="clear" w:pos="9174"/>
            </w:tabs>
          </w:pPr>
          <w:r>
            <w:rPr>
              <w:rFonts w:ascii="Cambria" w:hAnsi="Cambria" w:eastAsia="宋体"/>
              <w:b/>
              <w:bCs/>
              <w:sz w:val="21"/>
            </w:rPr>
            <w:fldChar w:fldCharType="begin"/>
          </w:r>
          <w:r>
            <w:rPr>
              <w:rFonts w:ascii="Cambria" w:hAnsi="Cambria" w:eastAsia="宋体"/>
              <w:b/>
              <w:bCs/>
              <w:sz w:val="21"/>
            </w:rPr>
            <w:instrText xml:space="preserve">TOC \o "1-2" \h \u </w:instrText>
          </w:r>
          <w:r>
            <w:rPr>
              <w:rFonts w:ascii="Cambria" w:hAnsi="Cambria" w:eastAsia="宋体"/>
              <w:b/>
              <w:bCs/>
              <w:sz w:val="21"/>
            </w:rPr>
            <w:fldChar w:fldCharType="separate"/>
          </w:r>
          <w:r>
            <w:rPr>
              <w:rFonts w:ascii="Cambria" w:hAnsi="Cambria" w:eastAsia="宋体"/>
              <w:bCs/>
            </w:rPr>
            <w:fldChar w:fldCharType="begin"/>
          </w:r>
          <w:r>
            <w:rPr>
              <w:rFonts w:ascii="Cambria" w:hAnsi="Cambria" w:eastAsia="宋体"/>
              <w:bCs/>
            </w:rPr>
            <w:instrText xml:space="preserve"> HYPERLINK \l _Toc4358 </w:instrText>
          </w:r>
          <w:r>
            <w:rPr>
              <w:rFonts w:ascii="Cambria" w:hAnsi="Cambria" w:eastAsia="宋体"/>
              <w:bCs/>
            </w:rPr>
            <w:fldChar w:fldCharType="separate"/>
          </w:r>
          <w:r>
            <w:rPr>
              <w:rFonts w:hint="eastAsia"/>
            </w:rPr>
            <w:t>1.设备说明</w:t>
          </w:r>
          <w:r>
            <w:tab/>
          </w:r>
          <w:r>
            <w:fldChar w:fldCharType="begin"/>
          </w:r>
          <w:r>
            <w:instrText xml:space="preserve"> PAGEREF _Toc4358 </w:instrText>
          </w:r>
          <w:r>
            <w:fldChar w:fldCharType="separate"/>
          </w:r>
          <w:r>
            <w:t>1</w:t>
          </w:r>
          <w:r>
            <w:fldChar w:fldCharType="end"/>
          </w:r>
          <w:r>
            <w:rPr>
              <w:rFonts w:ascii="Cambria" w:hAnsi="Cambria" w:eastAsia="宋体"/>
              <w:bCs/>
            </w:rPr>
            <w:fldChar w:fldCharType="end"/>
          </w:r>
        </w:p>
        <w:p>
          <w:pPr>
            <w:pStyle w:val="18"/>
            <w:tabs>
              <w:tab w:val="right" w:leader="dot" w:pos="6979"/>
              <w:tab w:val="clear" w:pos="9174"/>
            </w:tabs>
          </w:pPr>
          <w:r>
            <w:rPr>
              <w:bCs/>
            </w:rPr>
            <w:fldChar w:fldCharType="begin"/>
          </w:r>
          <w:r>
            <w:rPr>
              <w:bCs/>
            </w:rPr>
            <w:instrText xml:space="preserve"> HYPERLINK \l _Toc485 </w:instrText>
          </w:r>
          <w:r>
            <w:rPr>
              <w:bCs/>
            </w:rPr>
            <w:fldChar w:fldCharType="separate"/>
          </w:r>
          <w:r>
            <w:rPr>
              <w:rFonts w:hint="eastAsia"/>
            </w:rPr>
            <w:t>1.1设备用途</w:t>
          </w:r>
          <w:r>
            <w:tab/>
          </w:r>
          <w:r>
            <w:fldChar w:fldCharType="begin"/>
          </w:r>
          <w:r>
            <w:instrText xml:space="preserve"> PAGEREF _Toc485 </w:instrText>
          </w:r>
          <w:r>
            <w:fldChar w:fldCharType="separate"/>
          </w:r>
          <w:r>
            <w:t>1</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_Toc17685 </w:instrText>
          </w:r>
          <w:r>
            <w:rPr>
              <w:bCs/>
            </w:rPr>
            <w:fldChar w:fldCharType="separate"/>
          </w:r>
          <w:r>
            <w:rPr>
              <w:rFonts w:hint="eastAsia"/>
            </w:rPr>
            <w:t>1.2测量原理</w:t>
          </w:r>
          <w:r>
            <w:tab/>
          </w:r>
          <w:r>
            <w:fldChar w:fldCharType="begin"/>
          </w:r>
          <w:r>
            <w:instrText xml:space="preserve"> PAGEREF _Toc17685 </w:instrText>
          </w:r>
          <w:r>
            <w:fldChar w:fldCharType="separate"/>
          </w:r>
          <w:r>
            <w:t>1</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_Toc31185 </w:instrText>
          </w:r>
          <w:r>
            <w:rPr>
              <w:bCs/>
            </w:rPr>
            <w:fldChar w:fldCharType="separate"/>
          </w:r>
          <w:r>
            <w:rPr>
              <w:rFonts w:hint="eastAsia"/>
            </w:rPr>
            <w:t>1.3设备的组成</w:t>
          </w:r>
          <w:r>
            <w:tab/>
          </w:r>
          <w:r>
            <w:fldChar w:fldCharType="begin"/>
          </w:r>
          <w:r>
            <w:instrText xml:space="preserve"> PAGEREF _Toc31185 </w:instrText>
          </w:r>
          <w:r>
            <w:fldChar w:fldCharType="separate"/>
          </w:r>
          <w:r>
            <w:t>2</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_Toc25002 </w:instrText>
          </w:r>
          <w:r>
            <w:rPr>
              <w:bCs/>
            </w:rPr>
            <w:fldChar w:fldCharType="separate"/>
          </w:r>
          <w:r>
            <w:rPr>
              <w:rFonts w:hint="eastAsia"/>
            </w:rPr>
            <w:t>1.4主要技术参数</w:t>
          </w:r>
          <w:r>
            <w:tab/>
          </w:r>
          <w:r>
            <w:fldChar w:fldCharType="begin"/>
          </w:r>
          <w:r>
            <w:instrText xml:space="preserve"> PAGEREF _Toc25002 </w:instrText>
          </w:r>
          <w:r>
            <w:fldChar w:fldCharType="separate"/>
          </w:r>
          <w:r>
            <w:t>5</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_Toc21798 </w:instrText>
          </w:r>
          <w:r>
            <w:rPr>
              <w:bCs/>
            </w:rPr>
            <w:fldChar w:fldCharType="separate"/>
          </w:r>
          <w:r>
            <w:rPr>
              <w:rFonts w:hint="eastAsia"/>
            </w:rPr>
            <w:t>1.5使用环境要求</w:t>
          </w:r>
          <w:r>
            <w:tab/>
          </w:r>
          <w:r>
            <w:fldChar w:fldCharType="begin"/>
          </w:r>
          <w:r>
            <w:instrText xml:space="preserve"> PAGEREF _Toc21798 </w:instrText>
          </w:r>
          <w:r>
            <w:fldChar w:fldCharType="separate"/>
          </w:r>
          <w:r>
            <w:t>7</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_Toc523 </w:instrText>
          </w:r>
          <w:r>
            <w:rPr>
              <w:bCs/>
            </w:rPr>
            <w:fldChar w:fldCharType="separate"/>
          </w:r>
          <w:r>
            <w:rPr>
              <w:rFonts w:hint="eastAsia"/>
            </w:rPr>
            <w:t>1.6设备配套清单</w:t>
          </w:r>
          <w:r>
            <w:tab/>
          </w:r>
          <w:r>
            <w:fldChar w:fldCharType="begin"/>
          </w:r>
          <w:r>
            <w:instrText xml:space="preserve"> PAGEREF _Toc523 </w:instrText>
          </w:r>
          <w:r>
            <w:fldChar w:fldCharType="separate"/>
          </w:r>
          <w:r>
            <w:t>8</w:t>
          </w:r>
          <w:r>
            <w:fldChar w:fldCharType="end"/>
          </w:r>
          <w:r>
            <w:rPr>
              <w:bCs/>
            </w:rPr>
            <w:fldChar w:fldCharType="end"/>
          </w:r>
        </w:p>
        <w:p>
          <w:pPr>
            <w:pStyle w:val="17"/>
            <w:tabs>
              <w:tab w:val="right" w:leader="dot" w:pos="6979"/>
              <w:tab w:val="clear" w:pos="9174"/>
            </w:tabs>
          </w:pPr>
          <w:r>
            <w:rPr>
              <w:bCs/>
            </w:rPr>
            <w:fldChar w:fldCharType="begin"/>
          </w:r>
          <w:r>
            <w:rPr>
              <w:bCs/>
            </w:rPr>
            <w:instrText xml:space="preserve"> HYPERLINK \l _Toc3070 </w:instrText>
          </w:r>
          <w:r>
            <w:rPr>
              <w:bCs/>
            </w:rPr>
            <w:fldChar w:fldCharType="separate"/>
          </w:r>
          <w:r>
            <w:rPr>
              <w:rFonts w:hint="eastAsia" w:ascii="仿宋_GB2312" w:eastAsia="仿宋_GB2312"/>
            </w:rPr>
            <w:t>2.设备安装</w:t>
          </w:r>
          <w:r>
            <w:tab/>
          </w:r>
          <w:r>
            <w:fldChar w:fldCharType="begin"/>
          </w:r>
          <w:r>
            <w:instrText xml:space="preserve"> PAGEREF _Toc3070 </w:instrText>
          </w:r>
          <w:r>
            <w:fldChar w:fldCharType="separate"/>
          </w:r>
          <w:r>
            <w:t>10</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_Toc2093 </w:instrText>
          </w:r>
          <w:r>
            <w:rPr>
              <w:bCs/>
            </w:rPr>
            <w:fldChar w:fldCharType="separate"/>
          </w:r>
          <w:r>
            <w:rPr>
              <w:rFonts w:hint="eastAsia"/>
            </w:rPr>
            <w:t>2.1测径仪进厂前的准备</w:t>
          </w:r>
          <w:r>
            <w:tab/>
          </w:r>
          <w:r>
            <w:fldChar w:fldCharType="begin"/>
          </w:r>
          <w:r>
            <w:instrText xml:space="preserve"> PAGEREF _Toc2093 </w:instrText>
          </w:r>
          <w:r>
            <w:fldChar w:fldCharType="separate"/>
          </w:r>
          <w:r>
            <w:t>10</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_Toc8629 </w:instrText>
          </w:r>
          <w:r>
            <w:rPr>
              <w:bCs/>
            </w:rPr>
            <w:fldChar w:fldCharType="separate"/>
          </w:r>
          <w:r>
            <w:rPr>
              <w:rFonts w:hint="eastAsia"/>
            </w:rPr>
            <w:t>2.2测量车的安装</w:t>
          </w:r>
          <w:r>
            <w:tab/>
          </w:r>
          <w:r>
            <w:fldChar w:fldCharType="begin"/>
          </w:r>
          <w:r>
            <w:instrText xml:space="preserve"> PAGEREF _Toc8629 </w:instrText>
          </w:r>
          <w:r>
            <w:fldChar w:fldCharType="separate"/>
          </w:r>
          <w:r>
            <w:t>10</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_Toc22098 </w:instrText>
          </w:r>
          <w:r>
            <w:rPr>
              <w:bCs/>
            </w:rPr>
            <w:fldChar w:fldCharType="separate"/>
          </w:r>
          <w:r>
            <w:rPr>
              <w:rFonts w:hint="eastAsia"/>
            </w:rPr>
            <w:t>2.3电源、电器及通信线缆的敷设</w:t>
          </w:r>
          <w:r>
            <w:tab/>
          </w:r>
          <w:r>
            <w:fldChar w:fldCharType="begin"/>
          </w:r>
          <w:r>
            <w:instrText xml:space="preserve"> PAGEREF _Toc22098 </w:instrText>
          </w:r>
          <w:r>
            <w:fldChar w:fldCharType="separate"/>
          </w:r>
          <w:r>
            <w:t>10</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_Toc29328 </w:instrText>
          </w:r>
          <w:r>
            <w:rPr>
              <w:bCs/>
            </w:rPr>
            <w:fldChar w:fldCharType="separate"/>
          </w:r>
          <w:r>
            <w:rPr>
              <w:rFonts w:hint="eastAsia"/>
            </w:rPr>
            <w:t>2.4主控机柜</w:t>
          </w:r>
          <w:r>
            <w:tab/>
          </w:r>
          <w:r>
            <w:fldChar w:fldCharType="begin"/>
          </w:r>
          <w:r>
            <w:instrText xml:space="preserve"> PAGEREF _Toc29328 </w:instrText>
          </w:r>
          <w:r>
            <w:fldChar w:fldCharType="separate"/>
          </w:r>
          <w:r>
            <w:t>11</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_Toc30344 </w:instrText>
          </w:r>
          <w:r>
            <w:rPr>
              <w:bCs/>
            </w:rPr>
            <w:fldChar w:fldCharType="separate"/>
          </w:r>
          <w:r>
            <w:rPr>
              <w:rFonts w:hint="eastAsia"/>
            </w:rPr>
            <w:t>2.5 现场LED显示屏的挂装</w:t>
          </w:r>
          <w:r>
            <w:tab/>
          </w:r>
          <w:r>
            <w:fldChar w:fldCharType="begin"/>
          </w:r>
          <w:r>
            <w:instrText xml:space="preserve"> PAGEREF _Toc30344 </w:instrText>
          </w:r>
          <w:r>
            <w:fldChar w:fldCharType="separate"/>
          </w:r>
          <w:r>
            <w:t>11</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_Toc3003 </w:instrText>
          </w:r>
          <w:r>
            <w:rPr>
              <w:bCs/>
            </w:rPr>
            <w:fldChar w:fldCharType="separate"/>
          </w:r>
          <w:r>
            <w:rPr>
              <w:rFonts w:hint="eastAsia"/>
            </w:rPr>
            <w:t>2.6鼓风机的安装</w:t>
          </w:r>
          <w:r>
            <w:tab/>
          </w:r>
          <w:r>
            <w:fldChar w:fldCharType="begin"/>
          </w:r>
          <w:r>
            <w:instrText xml:space="preserve"> PAGEREF _Toc3003 </w:instrText>
          </w:r>
          <w:r>
            <w:fldChar w:fldCharType="separate"/>
          </w:r>
          <w:r>
            <w:t>11</w:t>
          </w:r>
          <w:r>
            <w:fldChar w:fldCharType="end"/>
          </w:r>
          <w:r>
            <w:rPr>
              <w:bCs/>
            </w:rPr>
            <w:fldChar w:fldCharType="end"/>
          </w:r>
        </w:p>
        <w:p>
          <w:pPr>
            <w:pStyle w:val="17"/>
            <w:tabs>
              <w:tab w:val="right" w:leader="dot" w:pos="6979"/>
              <w:tab w:val="clear" w:pos="9174"/>
            </w:tabs>
          </w:pPr>
          <w:r>
            <w:rPr>
              <w:bCs/>
            </w:rPr>
            <w:fldChar w:fldCharType="begin"/>
          </w:r>
          <w:r>
            <w:rPr>
              <w:bCs/>
            </w:rPr>
            <w:instrText xml:space="preserve"> HYPERLINK \l _Toc10043 </w:instrText>
          </w:r>
          <w:r>
            <w:rPr>
              <w:bCs/>
            </w:rPr>
            <w:fldChar w:fldCharType="separate"/>
          </w:r>
          <w:r>
            <w:rPr>
              <w:rFonts w:hint="eastAsia" w:ascii="仿宋_GB2312" w:eastAsia="仿宋_GB2312"/>
            </w:rPr>
            <w:t>3.设备调试</w:t>
          </w:r>
          <w:r>
            <w:tab/>
          </w:r>
          <w:r>
            <w:fldChar w:fldCharType="begin"/>
          </w:r>
          <w:r>
            <w:instrText xml:space="preserve"> PAGEREF _Toc10043 </w:instrText>
          </w:r>
          <w:r>
            <w:fldChar w:fldCharType="separate"/>
          </w:r>
          <w:r>
            <w:t>13</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_Toc18464 </w:instrText>
          </w:r>
          <w:r>
            <w:rPr>
              <w:bCs/>
            </w:rPr>
            <w:fldChar w:fldCharType="separate"/>
          </w:r>
          <w:r>
            <w:rPr>
              <w:rFonts w:hint="eastAsia"/>
            </w:rPr>
            <w:t>3.1调试前的准备工作</w:t>
          </w:r>
          <w:r>
            <w:tab/>
          </w:r>
          <w:r>
            <w:fldChar w:fldCharType="begin"/>
          </w:r>
          <w:r>
            <w:instrText xml:space="preserve"> PAGEREF _Toc18464 </w:instrText>
          </w:r>
          <w:r>
            <w:fldChar w:fldCharType="separate"/>
          </w:r>
          <w:r>
            <w:t>13</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_Toc15670 </w:instrText>
          </w:r>
          <w:r>
            <w:rPr>
              <w:bCs/>
            </w:rPr>
            <w:fldChar w:fldCharType="separate"/>
          </w:r>
          <w:r>
            <w:rPr>
              <w:rFonts w:hint="eastAsia"/>
            </w:rPr>
            <w:t>3.2通电检查</w:t>
          </w:r>
          <w:r>
            <w:tab/>
          </w:r>
          <w:r>
            <w:fldChar w:fldCharType="begin"/>
          </w:r>
          <w:r>
            <w:instrText xml:space="preserve"> PAGEREF _Toc15670 </w:instrText>
          </w:r>
          <w:r>
            <w:fldChar w:fldCharType="separate"/>
          </w:r>
          <w:r>
            <w:t>13</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_Toc212 </w:instrText>
          </w:r>
          <w:r>
            <w:rPr>
              <w:bCs/>
            </w:rPr>
            <w:fldChar w:fldCharType="separate"/>
          </w:r>
          <w:r>
            <w:rPr>
              <w:rFonts w:hint="eastAsia"/>
            </w:rPr>
            <w:t>3.3静态调试（离线）</w:t>
          </w:r>
          <w:r>
            <w:tab/>
          </w:r>
          <w:r>
            <w:fldChar w:fldCharType="begin"/>
          </w:r>
          <w:r>
            <w:instrText xml:space="preserve"> PAGEREF _Toc212 </w:instrText>
          </w:r>
          <w:r>
            <w:fldChar w:fldCharType="separate"/>
          </w:r>
          <w:r>
            <w:t>13</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_Toc3783 </w:instrText>
          </w:r>
          <w:r>
            <w:rPr>
              <w:bCs/>
            </w:rPr>
            <w:fldChar w:fldCharType="separate"/>
          </w:r>
          <w:r>
            <w:rPr>
              <w:rFonts w:hint="eastAsia"/>
            </w:rPr>
            <w:t>3.4动态调试（在线）</w:t>
          </w:r>
          <w:r>
            <w:tab/>
          </w:r>
          <w:r>
            <w:fldChar w:fldCharType="begin"/>
          </w:r>
          <w:r>
            <w:instrText xml:space="preserve"> PAGEREF _Toc3783 </w:instrText>
          </w:r>
          <w:r>
            <w:fldChar w:fldCharType="separate"/>
          </w:r>
          <w:r>
            <w:t>14</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_Toc22077 </w:instrText>
          </w:r>
          <w:r>
            <w:rPr>
              <w:bCs/>
            </w:rPr>
            <w:fldChar w:fldCharType="separate"/>
          </w:r>
          <w:r>
            <w:rPr>
              <w:rFonts w:hint="eastAsia"/>
            </w:rPr>
            <w:t>3.5上线测量</w:t>
          </w:r>
          <w:r>
            <w:tab/>
          </w:r>
          <w:r>
            <w:fldChar w:fldCharType="begin"/>
          </w:r>
          <w:r>
            <w:instrText xml:space="preserve"> PAGEREF _Toc22077 </w:instrText>
          </w:r>
          <w:r>
            <w:fldChar w:fldCharType="separate"/>
          </w:r>
          <w:r>
            <w:t>14</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_Toc30942 </w:instrText>
          </w:r>
          <w:r>
            <w:rPr>
              <w:bCs/>
            </w:rPr>
            <w:fldChar w:fldCharType="separate"/>
          </w:r>
          <w:r>
            <w:rPr>
              <w:rFonts w:hint="eastAsia"/>
            </w:rPr>
            <w:t>3.6报警</w:t>
          </w:r>
          <w:r>
            <w:tab/>
          </w:r>
          <w:r>
            <w:fldChar w:fldCharType="begin"/>
          </w:r>
          <w:r>
            <w:instrText xml:space="preserve"> PAGEREF _Toc30942 </w:instrText>
          </w:r>
          <w:r>
            <w:fldChar w:fldCharType="separate"/>
          </w:r>
          <w:r>
            <w:t>14</w:t>
          </w:r>
          <w:r>
            <w:fldChar w:fldCharType="end"/>
          </w:r>
          <w:r>
            <w:rPr>
              <w:bCs/>
            </w:rPr>
            <w:fldChar w:fldCharType="end"/>
          </w:r>
        </w:p>
        <w:p>
          <w:pPr>
            <w:pStyle w:val="17"/>
            <w:tabs>
              <w:tab w:val="right" w:leader="dot" w:pos="6979"/>
              <w:tab w:val="clear" w:pos="9174"/>
            </w:tabs>
          </w:pPr>
          <w:r>
            <w:rPr>
              <w:bCs/>
            </w:rPr>
            <w:fldChar w:fldCharType="begin"/>
          </w:r>
          <w:r>
            <w:rPr>
              <w:bCs/>
            </w:rPr>
            <w:instrText xml:space="preserve"> HYPERLINK \l _Toc32541 </w:instrText>
          </w:r>
          <w:r>
            <w:rPr>
              <w:bCs/>
            </w:rPr>
            <w:fldChar w:fldCharType="separate"/>
          </w:r>
          <w:r>
            <w:rPr>
              <w:rFonts w:hint="eastAsia"/>
            </w:rPr>
            <w:t>4.圆钢操作说明</w:t>
          </w:r>
          <w:r>
            <w:tab/>
          </w:r>
          <w:r>
            <w:fldChar w:fldCharType="begin"/>
          </w:r>
          <w:r>
            <w:instrText xml:space="preserve"> PAGEREF _Toc32541 </w:instrText>
          </w:r>
          <w:r>
            <w:fldChar w:fldCharType="separate"/>
          </w:r>
          <w:r>
            <w:t>16</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_Toc22121 </w:instrText>
          </w:r>
          <w:r>
            <w:rPr>
              <w:bCs/>
            </w:rPr>
            <w:fldChar w:fldCharType="separate"/>
          </w:r>
          <w:r>
            <w:rPr>
              <w:rFonts w:hint="eastAsia"/>
              <w:lang w:val="en-US" w:eastAsia="zh-CN"/>
            </w:rPr>
            <w:t>4.1</w:t>
          </w:r>
          <w:r>
            <w:rPr>
              <w:rFonts w:hint="eastAsia"/>
            </w:rPr>
            <w:t>程序</w:t>
          </w:r>
          <w:r>
            <w:rPr>
              <w:rFonts w:hint="eastAsia"/>
              <w:lang w:eastAsia="zh-CN"/>
            </w:rPr>
            <w:t>启动</w:t>
          </w:r>
          <w:r>
            <w:tab/>
          </w:r>
          <w:r>
            <w:fldChar w:fldCharType="begin"/>
          </w:r>
          <w:r>
            <w:instrText xml:space="preserve"> PAGEREF _Toc22121 </w:instrText>
          </w:r>
          <w:r>
            <w:fldChar w:fldCharType="separate"/>
          </w:r>
          <w:r>
            <w:t>16</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_Toc13596 </w:instrText>
          </w:r>
          <w:r>
            <w:rPr>
              <w:bCs/>
            </w:rPr>
            <w:fldChar w:fldCharType="separate"/>
          </w:r>
          <w:r>
            <w:rPr>
              <w:rFonts w:hint="eastAsia"/>
              <w:lang w:val="en-US" w:eastAsia="zh-CN"/>
            </w:rPr>
            <w:t>4.2</w:t>
          </w:r>
          <w:r>
            <w:rPr>
              <w:rFonts w:hint="eastAsia"/>
            </w:rPr>
            <w:t>产品型号配置</w:t>
          </w:r>
          <w:r>
            <w:tab/>
          </w:r>
          <w:r>
            <w:fldChar w:fldCharType="begin"/>
          </w:r>
          <w:r>
            <w:instrText xml:space="preserve"> PAGEREF _Toc13596 </w:instrText>
          </w:r>
          <w:r>
            <w:fldChar w:fldCharType="separate"/>
          </w:r>
          <w:r>
            <w:t>17</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_Toc17202 </w:instrText>
          </w:r>
          <w:r>
            <w:rPr>
              <w:bCs/>
            </w:rPr>
            <w:fldChar w:fldCharType="separate"/>
          </w:r>
          <w:r>
            <w:rPr>
              <w:rFonts w:hint="eastAsia"/>
              <w:lang w:val="en-US" w:eastAsia="zh-CN"/>
            </w:rPr>
            <w:t>4.3</w:t>
          </w:r>
          <w:r>
            <w:rPr>
              <w:rFonts w:hint="eastAsia"/>
            </w:rPr>
            <w:t>产品型号选择</w:t>
          </w:r>
          <w:r>
            <w:tab/>
          </w:r>
          <w:r>
            <w:fldChar w:fldCharType="begin"/>
          </w:r>
          <w:r>
            <w:instrText xml:space="preserve"> PAGEREF _Toc17202 </w:instrText>
          </w:r>
          <w:r>
            <w:fldChar w:fldCharType="separate"/>
          </w:r>
          <w:r>
            <w:t>22</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_Toc21135 </w:instrText>
          </w:r>
          <w:r>
            <w:rPr>
              <w:bCs/>
            </w:rPr>
            <w:fldChar w:fldCharType="separate"/>
          </w:r>
          <w:r>
            <w:rPr>
              <w:rFonts w:hint="eastAsia"/>
              <w:lang w:val="en-US" w:eastAsia="zh-CN"/>
            </w:rPr>
            <w:t>4.4</w:t>
          </w:r>
          <w:r>
            <w:rPr>
              <w:rFonts w:hint="eastAsia"/>
            </w:rPr>
            <w:t>测量</w:t>
          </w:r>
          <w:r>
            <w:rPr>
              <w:rFonts w:hint="eastAsia"/>
              <w:lang w:eastAsia="zh-CN"/>
            </w:rPr>
            <w:t>启停</w:t>
          </w:r>
          <w:r>
            <w:tab/>
          </w:r>
          <w:r>
            <w:fldChar w:fldCharType="begin"/>
          </w:r>
          <w:r>
            <w:instrText xml:space="preserve"> PAGEREF _Toc21135 </w:instrText>
          </w:r>
          <w:r>
            <w:fldChar w:fldCharType="separate"/>
          </w:r>
          <w:r>
            <w:t>22</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_Toc3852 </w:instrText>
          </w:r>
          <w:r>
            <w:rPr>
              <w:bCs/>
            </w:rPr>
            <w:fldChar w:fldCharType="separate"/>
          </w:r>
          <w:r>
            <w:rPr>
              <w:rFonts w:hint="eastAsia"/>
              <w:lang w:val="en-US" w:eastAsia="zh-CN"/>
            </w:rPr>
            <w:t>4.5</w:t>
          </w:r>
          <w:r>
            <w:rPr>
              <w:rFonts w:hint="eastAsia"/>
            </w:rPr>
            <w:t>大屏开关</w:t>
          </w:r>
          <w:r>
            <w:tab/>
          </w:r>
          <w:r>
            <w:fldChar w:fldCharType="begin"/>
          </w:r>
          <w:r>
            <w:instrText xml:space="preserve"> PAGEREF _Toc3852 </w:instrText>
          </w:r>
          <w:r>
            <w:fldChar w:fldCharType="separate"/>
          </w:r>
          <w:r>
            <w:t>23</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_Toc5003 </w:instrText>
          </w:r>
          <w:r>
            <w:rPr>
              <w:bCs/>
            </w:rPr>
            <w:fldChar w:fldCharType="separate"/>
          </w:r>
          <w:r>
            <w:rPr>
              <w:rFonts w:hint="eastAsia"/>
              <w:lang w:val="en-US" w:eastAsia="zh-CN"/>
            </w:rPr>
            <w:t>4.6</w:t>
          </w:r>
          <w:r>
            <w:rPr>
              <w:rFonts w:hint="eastAsia"/>
            </w:rPr>
            <w:t>历史查询</w:t>
          </w:r>
          <w:r>
            <w:tab/>
          </w:r>
          <w:r>
            <w:fldChar w:fldCharType="begin"/>
          </w:r>
          <w:r>
            <w:instrText xml:space="preserve"> PAGEREF _Toc5003 </w:instrText>
          </w:r>
          <w:r>
            <w:fldChar w:fldCharType="separate"/>
          </w:r>
          <w:r>
            <w:t>23</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_Toc11031 </w:instrText>
          </w:r>
          <w:r>
            <w:rPr>
              <w:bCs/>
            </w:rPr>
            <w:fldChar w:fldCharType="separate"/>
          </w:r>
          <w:r>
            <w:rPr>
              <w:rFonts w:hint="eastAsia"/>
              <w:lang w:val="en-US" w:eastAsia="zh-CN"/>
            </w:rPr>
            <w:t>4.7</w:t>
          </w:r>
          <w:r>
            <w:rPr>
              <w:rFonts w:hint="eastAsia"/>
            </w:rPr>
            <w:t>报警开关</w:t>
          </w:r>
          <w:r>
            <w:tab/>
          </w:r>
          <w:r>
            <w:fldChar w:fldCharType="begin"/>
          </w:r>
          <w:r>
            <w:instrText xml:space="preserve"> PAGEREF _Toc11031 </w:instrText>
          </w:r>
          <w:r>
            <w:fldChar w:fldCharType="separate"/>
          </w:r>
          <w:r>
            <w:t>24</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_Toc15499 </w:instrText>
          </w:r>
          <w:r>
            <w:rPr>
              <w:bCs/>
            </w:rPr>
            <w:fldChar w:fldCharType="separate"/>
          </w:r>
          <w:r>
            <w:rPr>
              <w:rFonts w:hint="eastAsia"/>
              <w:lang w:val="en-US" w:eastAsia="zh-CN"/>
            </w:rPr>
            <w:t>4.8</w:t>
          </w:r>
          <w:r>
            <w:rPr>
              <w:rFonts w:hint="eastAsia"/>
            </w:rPr>
            <w:t>退出软件</w:t>
          </w:r>
          <w:r>
            <w:tab/>
          </w:r>
          <w:r>
            <w:fldChar w:fldCharType="begin"/>
          </w:r>
          <w:r>
            <w:instrText xml:space="preserve"> PAGEREF _Toc15499 </w:instrText>
          </w:r>
          <w:r>
            <w:fldChar w:fldCharType="separate"/>
          </w:r>
          <w:r>
            <w:t>25</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_Toc27224 </w:instrText>
          </w:r>
          <w:r>
            <w:rPr>
              <w:bCs/>
            </w:rPr>
            <w:fldChar w:fldCharType="separate"/>
          </w:r>
          <w:r>
            <w:rPr>
              <w:rFonts w:hint="eastAsia"/>
              <w:lang w:val="en-US" w:eastAsia="zh-CN"/>
            </w:rPr>
            <w:t>4.9</w:t>
          </w:r>
          <w:r>
            <w:rPr>
              <w:rFonts w:hint="eastAsia"/>
            </w:rPr>
            <w:t>下位机</w:t>
          </w:r>
          <w:r>
            <w:t>软件</w:t>
          </w:r>
          <w:r>
            <w:tab/>
          </w:r>
          <w:r>
            <w:fldChar w:fldCharType="begin"/>
          </w:r>
          <w:r>
            <w:instrText xml:space="preserve"> PAGEREF _Toc27224 </w:instrText>
          </w:r>
          <w:r>
            <w:fldChar w:fldCharType="separate"/>
          </w:r>
          <w:r>
            <w:t>25</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_Toc15143 </w:instrText>
          </w:r>
          <w:r>
            <w:rPr>
              <w:bCs/>
            </w:rPr>
            <w:fldChar w:fldCharType="separate"/>
          </w:r>
          <w:r>
            <w:rPr>
              <w:rFonts w:hint="eastAsia"/>
              <w:lang w:val="en-US" w:eastAsia="zh-CN"/>
            </w:rPr>
            <w:t>4.10</w:t>
          </w:r>
          <w:r>
            <w:rPr>
              <w:rFonts w:hint="eastAsia"/>
            </w:rPr>
            <w:t>帮助</w:t>
          </w:r>
          <w:r>
            <w:tab/>
          </w:r>
          <w:r>
            <w:fldChar w:fldCharType="begin"/>
          </w:r>
          <w:r>
            <w:instrText xml:space="preserve"> PAGEREF _Toc15143 </w:instrText>
          </w:r>
          <w:r>
            <w:fldChar w:fldCharType="separate"/>
          </w:r>
          <w:r>
            <w:t>29</w:t>
          </w:r>
          <w:r>
            <w:fldChar w:fldCharType="end"/>
          </w:r>
          <w:r>
            <w:rPr>
              <w:bCs/>
            </w:rPr>
            <w:fldChar w:fldCharType="end"/>
          </w:r>
        </w:p>
        <w:p>
          <w:pPr>
            <w:pStyle w:val="17"/>
            <w:tabs>
              <w:tab w:val="right" w:leader="dot" w:pos="6979"/>
              <w:tab w:val="clear" w:pos="9174"/>
            </w:tabs>
          </w:pPr>
          <w:r>
            <w:rPr>
              <w:bCs/>
            </w:rPr>
            <w:fldChar w:fldCharType="begin"/>
          </w:r>
          <w:r>
            <w:rPr>
              <w:bCs/>
            </w:rPr>
            <w:instrText xml:space="preserve"> HYPERLINK \l _Toc30726 </w:instrText>
          </w:r>
          <w:r>
            <w:rPr>
              <w:bCs/>
            </w:rPr>
            <w:fldChar w:fldCharType="separate"/>
          </w:r>
          <w:r>
            <w:rPr>
              <w:rFonts w:hint="eastAsia"/>
            </w:rPr>
            <w:t>5.设备操作规程</w:t>
          </w:r>
          <w:r>
            <w:tab/>
          </w:r>
          <w:r>
            <w:fldChar w:fldCharType="begin"/>
          </w:r>
          <w:r>
            <w:instrText xml:space="preserve"> PAGEREF _Toc30726 </w:instrText>
          </w:r>
          <w:r>
            <w:fldChar w:fldCharType="separate"/>
          </w:r>
          <w:r>
            <w:t>30</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_Toc14773 </w:instrText>
          </w:r>
          <w:r>
            <w:rPr>
              <w:bCs/>
            </w:rPr>
            <w:fldChar w:fldCharType="separate"/>
          </w:r>
          <w:r>
            <w:rPr>
              <w:rFonts w:hint="eastAsia"/>
            </w:rPr>
            <w:t>5.1开机</w:t>
          </w:r>
          <w:r>
            <w:tab/>
          </w:r>
          <w:r>
            <w:fldChar w:fldCharType="begin"/>
          </w:r>
          <w:r>
            <w:instrText xml:space="preserve"> PAGEREF _Toc14773 </w:instrText>
          </w:r>
          <w:r>
            <w:fldChar w:fldCharType="separate"/>
          </w:r>
          <w:r>
            <w:t>30</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_Toc14641 </w:instrText>
          </w:r>
          <w:r>
            <w:rPr>
              <w:bCs/>
            </w:rPr>
            <w:fldChar w:fldCharType="separate"/>
          </w:r>
          <w:r>
            <w:rPr>
              <w:rFonts w:hint="eastAsia"/>
            </w:rPr>
            <w:t>5.2打开测量软件</w:t>
          </w:r>
          <w:r>
            <w:tab/>
          </w:r>
          <w:r>
            <w:fldChar w:fldCharType="begin"/>
          </w:r>
          <w:r>
            <w:instrText xml:space="preserve"> PAGEREF _Toc14641 </w:instrText>
          </w:r>
          <w:r>
            <w:fldChar w:fldCharType="separate"/>
          </w:r>
          <w:r>
            <w:t>30</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_Toc9423 </w:instrText>
          </w:r>
          <w:r>
            <w:rPr>
              <w:bCs/>
            </w:rPr>
            <w:fldChar w:fldCharType="separate"/>
          </w:r>
          <w:r>
            <w:rPr>
              <w:rFonts w:hint="eastAsia"/>
            </w:rPr>
            <w:t>5.3产品参数的设定、读取和保存</w:t>
          </w:r>
          <w:r>
            <w:tab/>
          </w:r>
          <w:r>
            <w:fldChar w:fldCharType="begin"/>
          </w:r>
          <w:r>
            <w:instrText xml:space="preserve"> PAGEREF _Toc9423 </w:instrText>
          </w:r>
          <w:r>
            <w:fldChar w:fldCharType="separate"/>
          </w:r>
          <w:r>
            <w:t>30</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_Toc15538 </w:instrText>
          </w:r>
          <w:r>
            <w:rPr>
              <w:bCs/>
            </w:rPr>
            <w:fldChar w:fldCharType="separate"/>
          </w:r>
          <w:r>
            <w:rPr>
              <w:rFonts w:hint="eastAsia"/>
            </w:rPr>
            <w:t>5.4系统校零</w:t>
          </w:r>
          <w:r>
            <w:tab/>
          </w:r>
          <w:r>
            <w:fldChar w:fldCharType="begin"/>
          </w:r>
          <w:r>
            <w:instrText xml:space="preserve"> PAGEREF _Toc15538 </w:instrText>
          </w:r>
          <w:r>
            <w:fldChar w:fldCharType="separate"/>
          </w:r>
          <w:r>
            <w:t>31</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_Toc23046 </w:instrText>
          </w:r>
          <w:r>
            <w:rPr>
              <w:bCs/>
            </w:rPr>
            <w:fldChar w:fldCharType="separate"/>
          </w:r>
          <w:r>
            <w:rPr>
              <w:rFonts w:hint="eastAsia"/>
            </w:rPr>
            <w:t>5.5测径仪开始测量状态</w:t>
          </w:r>
          <w:r>
            <w:tab/>
          </w:r>
          <w:r>
            <w:fldChar w:fldCharType="begin"/>
          </w:r>
          <w:r>
            <w:instrText xml:space="preserve"> PAGEREF _Toc23046 </w:instrText>
          </w:r>
          <w:r>
            <w:fldChar w:fldCharType="separate"/>
          </w:r>
          <w:r>
            <w:t>31</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_Toc13185 </w:instrText>
          </w:r>
          <w:r>
            <w:rPr>
              <w:bCs/>
            </w:rPr>
            <w:fldChar w:fldCharType="separate"/>
          </w:r>
          <w:r>
            <w:rPr>
              <w:rFonts w:hint="eastAsia"/>
            </w:rPr>
            <w:t>5.6 冷热系数的设定</w:t>
          </w:r>
          <w:r>
            <w:tab/>
          </w:r>
          <w:r>
            <w:fldChar w:fldCharType="begin"/>
          </w:r>
          <w:r>
            <w:instrText xml:space="preserve"> PAGEREF _Toc13185 </w:instrText>
          </w:r>
          <w:r>
            <w:fldChar w:fldCharType="separate"/>
          </w:r>
          <w:r>
            <w:t>31</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_Toc12632 </w:instrText>
          </w:r>
          <w:r>
            <w:rPr>
              <w:bCs/>
            </w:rPr>
            <w:fldChar w:fldCharType="separate"/>
          </w:r>
          <w:r>
            <w:rPr>
              <w:rFonts w:hint="eastAsia"/>
            </w:rPr>
            <w:t>5.7测径仪停止测量状态</w:t>
          </w:r>
          <w:r>
            <w:tab/>
          </w:r>
          <w:r>
            <w:fldChar w:fldCharType="begin"/>
          </w:r>
          <w:r>
            <w:instrText xml:space="preserve"> PAGEREF _Toc12632 </w:instrText>
          </w:r>
          <w:r>
            <w:fldChar w:fldCharType="separate"/>
          </w:r>
          <w:r>
            <w:t>31</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_Toc31979 </w:instrText>
          </w:r>
          <w:r>
            <w:rPr>
              <w:bCs/>
            </w:rPr>
            <w:fldChar w:fldCharType="separate"/>
          </w:r>
          <w:r>
            <w:rPr>
              <w:rFonts w:hint="eastAsia"/>
            </w:rPr>
            <w:t>5.8历史数据的查询</w:t>
          </w:r>
          <w:r>
            <w:tab/>
          </w:r>
          <w:r>
            <w:fldChar w:fldCharType="begin"/>
          </w:r>
          <w:r>
            <w:instrText xml:space="preserve"> PAGEREF _Toc31979 </w:instrText>
          </w:r>
          <w:r>
            <w:fldChar w:fldCharType="separate"/>
          </w:r>
          <w:r>
            <w:t>32</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_Toc24349 </w:instrText>
          </w:r>
          <w:r>
            <w:rPr>
              <w:bCs/>
            </w:rPr>
            <w:fldChar w:fldCharType="separate"/>
          </w:r>
          <w:r>
            <w:rPr>
              <w:rFonts w:hint="eastAsia"/>
            </w:rPr>
            <w:t>5.9关闭测量软件</w:t>
          </w:r>
          <w:r>
            <w:tab/>
          </w:r>
          <w:r>
            <w:fldChar w:fldCharType="begin"/>
          </w:r>
          <w:r>
            <w:instrText xml:space="preserve"> PAGEREF _Toc24349 </w:instrText>
          </w:r>
          <w:r>
            <w:fldChar w:fldCharType="separate"/>
          </w:r>
          <w:r>
            <w:t>32</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_Toc27960 </w:instrText>
          </w:r>
          <w:r>
            <w:rPr>
              <w:bCs/>
            </w:rPr>
            <w:fldChar w:fldCharType="separate"/>
          </w:r>
          <w:r>
            <w:rPr>
              <w:rFonts w:hint="eastAsia"/>
            </w:rPr>
            <w:t>5.10关机</w:t>
          </w:r>
          <w:r>
            <w:tab/>
          </w:r>
          <w:r>
            <w:fldChar w:fldCharType="begin"/>
          </w:r>
          <w:r>
            <w:instrText xml:space="preserve"> PAGEREF _Toc27960 </w:instrText>
          </w:r>
          <w:r>
            <w:fldChar w:fldCharType="separate"/>
          </w:r>
          <w:r>
            <w:t>32</w:t>
          </w:r>
          <w:r>
            <w:fldChar w:fldCharType="end"/>
          </w:r>
          <w:r>
            <w:rPr>
              <w:bCs/>
            </w:rPr>
            <w:fldChar w:fldCharType="end"/>
          </w:r>
        </w:p>
        <w:p>
          <w:pPr>
            <w:pStyle w:val="17"/>
            <w:tabs>
              <w:tab w:val="right" w:leader="dot" w:pos="6979"/>
              <w:tab w:val="clear" w:pos="9174"/>
            </w:tabs>
          </w:pPr>
          <w:r>
            <w:rPr>
              <w:bCs/>
            </w:rPr>
            <w:fldChar w:fldCharType="begin"/>
          </w:r>
          <w:r>
            <w:rPr>
              <w:bCs/>
            </w:rPr>
            <w:instrText xml:space="preserve"> HYPERLINK \l _Toc23170 </w:instrText>
          </w:r>
          <w:r>
            <w:rPr>
              <w:bCs/>
            </w:rPr>
            <w:fldChar w:fldCharType="separate"/>
          </w:r>
          <w:r>
            <w:rPr>
              <w:rFonts w:hint="eastAsia"/>
            </w:rPr>
            <w:t>6.安全操作及日常维护</w:t>
          </w:r>
          <w:r>
            <w:tab/>
          </w:r>
          <w:r>
            <w:fldChar w:fldCharType="begin"/>
          </w:r>
          <w:r>
            <w:instrText xml:space="preserve"> PAGEREF _Toc23170 </w:instrText>
          </w:r>
          <w:r>
            <w:fldChar w:fldCharType="separate"/>
          </w:r>
          <w:r>
            <w:t>33</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_Toc27330 </w:instrText>
          </w:r>
          <w:r>
            <w:rPr>
              <w:bCs/>
            </w:rPr>
            <w:fldChar w:fldCharType="separate"/>
          </w:r>
          <w:r>
            <w:rPr>
              <w:rFonts w:hint="eastAsia"/>
            </w:rPr>
            <w:t>6.1总则</w:t>
          </w:r>
          <w:r>
            <w:tab/>
          </w:r>
          <w:r>
            <w:fldChar w:fldCharType="begin"/>
          </w:r>
          <w:r>
            <w:instrText xml:space="preserve"> PAGEREF _Toc27330 </w:instrText>
          </w:r>
          <w:r>
            <w:fldChar w:fldCharType="separate"/>
          </w:r>
          <w:r>
            <w:t>33</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_Toc5334 </w:instrText>
          </w:r>
          <w:r>
            <w:rPr>
              <w:bCs/>
            </w:rPr>
            <w:fldChar w:fldCharType="separate"/>
          </w:r>
          <w:r>
            <w:rPr>
              <w:rFonts w:hint="eastAsia"/>
            </w:rPr>
            <w:t>6.2供风设备的操作和维护</w:t>
          </w:r>
          <w:r>
            <w:tab/>
          </w:r>
          <w:r>
            <w:fldChar w:fldCharType="begin"/>
          </w:r>
          <w:r>
            <w:instrText xml:space="preserve"> PAGEREF _Toc5334 </w:instrText>
          </w:r>
          <w:r>
            <w:fldChar w:fldCharType="separate"/>
          </w:r>
          <w:r>
            <w:t>34</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_Toc7313 </w:instrText>
          </w:r>
          <w:r>
            <w:rPr>
              <w:bCs/>
            </w:rPr>
            <w:fldChar w:fldCharType="separate"/>
          </w:r>
          <w:r>
            <w:rPr>
              <w:rFonts w:hint="eastAsia"/>
            </w:rPr>
            <w:t>6.3视窗镜片的维护</w:t>
          </w:r>
          <w:r>
            <w:tab/>
          </w:r>
          <w:r>
            <w:fldChar w:fldCharType="begin"/>
          </w:r>
          <w:r>
            <w:instrText xml:space="preserve"> PAGEREF _Toc7313 </w:instrText>
          </w:r>
          <w:r>
            <w:fldChar w:fldCharType="separate"/>
          </w:r>
          <w:r>
            <w:t>34</w:t>
          </w:r>
          <w:r>
            <w:fldChar w:fldCharType="end"/>
          </w:r>
          <w:r>
            <w:rPr>
              <w:bCs/>
            </w:rPr>
            <w:fldChar w:fldCharType="end"/>
          </w:r>
        </w:p>
        <w:p>
          <w:pPr>
            <w:pStyle w:val="18"/>
            <w:tabs>
              <w:tab w:val="right" w:leader="dot" w:pos="6979"/>
              <w:tab w:val="clear" w:pos="9174"/>
            </w:tabs>
          </w:pPr>
          <w:r>
            <w:rPr>
              <w:bCs/>
            </w:rPr>
            <w:fldChar w:fldCharType="begin"/>
          </w:r>
          <w:r>
            <w:rPr>
              <w:bCs/>
            </w:rPr>
            <w:instrText xml:space="preserve"> HYPERLINK \l _Toc28715 </w:instrText>
          </w:r>
          <w:r>
            <w:rPr>
              <w:bCs/>
            </w:rPr>
            <w:fldChar w:fldCharType="separate"/>
          </w:r>
          <w:r>
            <w:rPr>
              <w:rFonts w:hint="eastAsia"/>
            </w:rPr>
            <w:t>6.4测量偏差校验</w:t>
          </w:r>
          <w:r>
            <w:tab/>
          </w:r>
          <w:r>
            <w:fldChar w:fldCharType="begin"/>
          </w:r>
          <w:r>
            <w:instrText xml:space="preserve"> PAGEREF _Toc28715 </w:instrText>
          </w:r>
          <w:r>
            <w:fldChar w:fldCharType="separate"/>
          </w:r>
          <w:r>
            <w:t>35</w:t>
          </w:r>
          <w:r>
            <w:fldChar w:fldCharType="end"/>
          </w:r>
          <w:r>
            <w:rPr>
              <w:bCs/>
            </w:rPr>
            <w:fldChar w:fldCharType="end"/>
          </w:r>
        </w:p>
        <w:p>
          <w:pPr>
            <w:pStyle w:val="17"/>
            <w:tabs>
              <w:tab w:val="right" w:leader="dot" w:pos="6979"/>
              <w:tab w:val="clear" w:pos="9174"/>
            </w:tabs>
          </w:pPr>
          <w:r>
            <w:rPr>
              <w:bCs/>
            </w:rPr>
            <w:fldChar w:fldCharType="begin"/>
          </w:r>
          <w:r>
            <w:rPr>
              <w:bCs/>
            </w:rPr>
            <w:instrText xml:space="preserve"> HYPERLINK \l _Toc32494 </w:instrText>
          </w:r>
          <w:r>
            <w:rPr>
              <w:bCs/>
            </w:rPr>
            <w:fldChar w:fldCharType="separate"/>
          </w:r>
          <w:r>
            <w:rPr>
              <w:rFonts w:hint="eastAsia"/>
            </w:rPr>
            <w:t>7.设备常见故障及排除方法</w:t>
          </w:r>
          <w:r>
            <w:tab/>
          </w:r>
          <w:r>
            <w:fldChar w:fldCharType="begin"/>
          </w:r>
          <w:r>
            <w:instrText xml:space="preserve"> PAGEREF _Toc32494 </w:instrText>
          </w:r>
          <w:r>
            <w:fldChar w:fldCharType="separate"/>
          </w:r>
          <w:r>
            <w:t>37</w:t>
          </w:r>
          <w:r>
            <w:fldChar w:fldCharType="end"/>
          </w:r>
          <w:r>
            <w:rPr>
              <w:bCs/>
            </w:rPr>
            <w:fldChar w:fldCharType="end"/>
          </w:r>
        </w:p>
        <w:p>
          <w:pPr>
            <w:pStyle w:val="17"/>
            <w:tabs>
              <w:tab w:val="right" w:leader="dot" w:pos="6979"/>
              <w:tab w:val="clear" w:pos="9174"/>
            </w:tabs>
          </w:pPr>
          <w:r>
            <w:rPr>
              <w:bCs/>
            </w:rPr>
            <w:fldChar w:fldCharType="begin"/>
          </w:r>
          <w:r>
            <w:rPr>
              <w:bCs/>
            </w:rPr>
            <w:instrText xml:space="preserve"> HYPERLINK \l _Toc6174 </w:instrText>
          </w:r>
          <w:r>
            <w:rPr>
              <w:bCs/>
            </w:rPr>
            <w:fldChar w:fldCharType="separate"/>
          </w:r>
          <w:r>
            <w:rPr>
              <w:rFonts w:hint="eastAsia"/>
            </w:rPr>
            <w:t>8.售后服务</w:t>
          </w:r>
          <w:r>
            <w:tab/>
          </w:r>
          <w:r>
            <w:fldChar w:fldCharType="begin"/>
          </w:r>
          <w:r>
            <w:instrText xml:space="preserve"> PAGEREF _Toc6174 </w:instrText>
          </w:r>
          <w:r>
            <w:fldChar w:fldCharType="separate"/>
          </w:r>
          <w:r>
            <w:t>39</w:t>
          </w:r>
          <w:r>
            <w:fldChar w:fldCharType="end"/>
          </w:r>
          <w:r>
            <w:rPr>
              <w:bCs/>
            </w:rPr>
            <w:fldChar w:fldCharType="end"/>
          </w:r>
        </w:p>
        <w:p>
          <w:pPr>
            <w:pStyle w:val="56"/>
            <w:tabs>
              <w:tab w:val="right" w:leader="dot" w:pos="6979"/>
            </w:tabs>
          </w:pPr>
          <w:r>
            <w:rPr>
              <w:bCs/>
            </w:rPr>
            <w:fldChar w:fldCharType="end"/>
          </w:r>
        </w:p>
      </w:sdtContent>
    </w:sdt>
    <w:p>
      <w:pPr>
        <w:pStyle w:val="57"/>
        <w:tabs>
          <w:tab w:val="right" w:leader="dot" w:pos="6979"/>
        </w:tabs>
        <w:ind w:left="480"/>
      </w:pPr>
    </w:p>
    <w:p>
      <w:pPr>
        <w:pStyle w:val="57"/>
        <w:tabs>
          <w:tab w:val="left" w:pos="805"/>
        </w:tabs>
        <w:ind w:left="480"/>
      </w:pPr>
    </w:p>
    <w:p>
      <w:pPr>
        <w:pStyle w:val="2"/>
        <w:jc w:val="both"/>
        <w:rPr>
          <w:rFonts w:ascii="仿宋_GB2312" w:eastAsia="仿宋_GB2312"/>
        </w:rPr>
        <w:sectPr>
          <w:headerReference r:id="rId5" w:type="first"/>
          <w:footerReference r:id="rId8" w:type="first"/>
          <w:headerReference r:id="rId3" w:type="default"/>
          <w:footerReference r:id="rId6" w:type="default"/>
          <w:headerReference r:id="rId4" w:type="even"/>
          <w:footerReference r:id="rId7" w:type="even"/>
          <w:pgSz w:w="8419" w:h="11906" w:orient="landscape"/>
          <w:pgMar w:top="720" w:right="720" w:bottom="720" w:left="720" w:header="851" w:footer="794" w:gutter="0"/>
          <w:pgNumType w:start="1"/>
          <w:cols w:space="425" w:num="1"/>
          <w:docGrid w:type="lines" w:linePitch="326" w:charSpace="0"/>
        </w:sectPr>
      </w:pPr>
      <w:bookmarkStart w:id="2" w:name="_Toc2724"/>
      <w:bookmarkStart w:id="3" w:name="_Toc14697"/>
    </w:p>
    <w:p>
      <w:pPr>
        <w:pStyle w:val="2"/>
      </w:pPr>
      <w:bookmarkStart w:id="4" w:name="_Toc4343"/>
      <w:bookmarkStart w:id="5" w:name="_Toc4358"/>
      <w:r>
        <w:rPr>
          <w:rFonts w:hint="eastAsia"/>
        </w:rPr>
        <w:t>1.设备说明</w:t>
      </w:r>
      <w:bookmarkEnd w:id="0"/>
      <w:bookmarkEnd w:id="1"/>
      <w:bookmarkEnd w:id="2"/>
      <w:bookmarkEnd w:id="3"/>
      <w:bookmarkEnd w:id="4"/>
      <w:bookmarkEnd w:id="5"/>
    </w:p>
    <w:p>
      <w:pPr>
        <w:pStyle w:val="3"/>
      </w:pPr>
      <w:bookmarkStart w:id="6" w:name="_Toc11539"/>
      <w:bookmarkStart w:id="7" w:name="_Toc10483"/>
      <w:bookmarkStart w:id="8" w:name="_Toc497307425"/>
      <w:bookmarkStart w:id="9" w:name="_Toc485"/>
      <w:bookmarkStart w:id="10" w:name="_Toc26867"/>
      <w:bookmarkStart w:id="11" w:name="_Toc30732"/>
      <w:r>
        <w:rPr>
          <w:rFonts w:hint="eastAsia"/>
        </w:rPr>
        <w:t>1.1设备用途</w:t>
      </w:r>
      <w:bookmarkEnd w:id="6"/>
      <w:bookmarkEnd w:id="7"/>
      <w:bookmarkEnd w:id="8"/>
      <w:bookmarkEnd w:id="9"/>
      <w:bookmarkEnd w:id="10"/>
      <w:bookmarkEnd w:id="11"/>
    </w:p>
    <w:p>
      <w:pPr>
        <w:spacing w:line="360" w:lineRule="auto"/>
        <w:ind w:firstLine="480"/>
        <w:rPr>
          <w:rFonts w:ascii="仿宋_GB2312" w:eastAsia="仿宋_GB2312"/>
        </w:rPr>
      </w:pPr>
      <w:r>
        <w:rPr>
          <w:rFonts w:hint="eastAsia" w:eastAsia="仿宋_GB2312"/>
        </w:rPr>
        <w:t>LPXJ40.8D-J2D2R2-1L型</w:t>
      </w:r>
      <w:r>
        <w:rPr>
          <w:rFonts w:hint="eastAsia" w:ascii="仿宋_GB2312" w:eastAsia="仿宋_GB2312"/>
        </w:rPr>
        <w:t>线材测径仪（以下简称测径仪）是非接触在线检测设备，主要用于冶金业线材外径在线检测。本设备测量的数据客观，实时性好，测量结果保存完整，适用于生产线的质量监测、跟踪和生产工艺分析。</w:t>
      </w:r>
    </w:p>
    <w:p>
      <w:pPr>
        <w:pStyle w:val="3"/>
      </w:pPr>
      <w:bookmarkStart w:id="12" w:name="_Toc219275412"/>
      <w:bookmarkStart w:id="13" w:name="_Toc497307426"/>
      <w:bookmarkStart w:id="14" w:name="_Toc17685"/>
      <w:r>
        <w:drawing>
          <wp:anchor distT="0" distB="0" distL="114300" distR="114300" simplePos="0" relativeHeight="251652096" behindDoc="0" locked="0" layoutInCell="1" allowOverlap="1">
            <wp:simplePos x="0" y="0"/>
            <wp:positionH relativeFrom="column">
              <wp:posOffset>-239395</wp:posOffset>
            </wp:positionH>
            <wp:positionV relativeFrom="paragraph">
              <wp:posOffset>670560</wp:posOffset>
            </wp:positionV>
            <wp:extent cx="4897755" cy="1109345"/>
            <wp:effectExtent l="0" t="0" r="0" b="0"/>
            <wp:wrapSquare wrapText="bothSides"/>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13" cstate="print"/>
                    <a:srcRect/>
                    <a:stretch>
                      <a:fillRect/>
                    </a:stretch>
                  </pic:blipFill>
                  <pic:spPr>
                    <a:xfrm>
                      <a:off x="0" y="0"/>
                      <a:ext cx="4897755" cy="1109345"/>
                    </a:xfrm>
                    <a:prstGeom prst="rect">
                      <a:avLst/>
                    </a:prstGeom>
                    <a:noFill/>
                    <a:ln w="9525">
                      <a:noFill/>
                      <a:miter lim="800000"/>
                      <a:headEnd/>
                      <a:tailEnd/>
                    </a:ln>
                  </pic:spPr>
                </pic:pic>
              </a:graphicData>
            </a:graphic>
          </wp:anchor>
        </w:drawing>
      </w:r>
      <w:r>
        <w:rPr>
          <w:rFonts w:hint="eastAsia"/>
        </w:rPr>
        <w:t>1.2测量原理</w:t>
      </w:r>
      <w:bookmarkEnd w:id="12"/>
      <w:bookmarkEnd w:id="13"/>
      <w:bookmarkEnd w:id="14"/>
    </w:p>
    <w:p>
      <w:pPr>
        <w:spacing w:line="360" w:lineRule="auto"/>
        <w:ind w:firstLine="0" w:firstLineChars="0"/>
        <w:jc w:val="center"/>
        <w:rPr>
          <w:rFonts w:ascii="仿宋_GB2312" w:eastAsia="仿宋_GB2312"/>
          <w:sz w:val="21"/>
          <w:szCs w:val="21"/>
        </w:rPr>
      </w:pPr>
      <w:bookmarkStart w:id="15" w:name="_Toc2140"/>
      <w:bookmarkStart w:id="16" w:name="_Toc20664"/>
      <w:bookmarkStart w:id="17" w:name="_Toc3207"/>
      <w:bookmarkStart w:id="18" w:name="_Toc1998"/>
      <w:r>
        <w:rPr>
          <w:rFonts w:hint="eastAsia" w:ascii="仿宋_GB2312" w:eastAsia="仿宋_GB2312"/>
          <w:sz w:val="21"/>
          <w:szCs w:val="21"/>
        </w:rPr>
        <w:t>图1.1 测量原理示意图</w:t>
      </w:r>
      <w:bookmarkEnd w:id="15"/>
      <w:bookmarkEnd w:id="16"/>
      <w:bookmarkEnd w:id="17"/>
      <w:bookmarkEnd w:id="18"/>
    </w:p>
    <w:p>
      <w:pPr>
        <w:spacing w:line="360" w:lineRule="auto"/>
        <w:ind w:firstLine="480"/>
        <w:rPr>
          <w:rFonts w:ascii="仿宋_GB2312" w:eastAsia="仿宋_GB2312"/>
        </w:rPr>
      </w:pPr>
      <w:r>
        <w:rPr>
          <w:rFonts w:hint="eastAsia" w:ascii="仿宋_GB2312" w:eastAsia="仿宋_GB2312"/>
        </w:rPr>
        <w:t>测径仪是集光学、机械、电子和计算机技术一体化的测量设备。它采用光学投影和</w:t>
      </w:r>
      <w:r>
        <w:rPr>
          <w:rFonts w:eastAsia="仿宋_GB2312"/>
        </w:rPr>
        <w:t>CCD</w:t>
      </w:r>
      <w:r>
        <w:rPr>
          <w:rFonts w:hint="eastAsia" w:ascii="仿宋_GB2312" w:eastAsia="仿宋_GB2312"/>
        </w:rPr>
        <w:t>测量原理，对轧制中的被测物轮廓尺寸做出定量检测。</w:t>
      </w:r>
    </w:p>
    <w:p>
      <w:pPr>
        <w:spacing w:line="360" w:lineRule="auto"/>
        <w:ind w:firstLine="480"/>
        <w:rPr>
          <w:rFonts w:ascii="仿宋_GB2312" w:eastAsia="仿宋_GB2312"/>
        </w:rPr>
      </w:pPr>
      <w:r>
        <w:rPr>
          <w:rFonts w:hint="eastAsia" w:ascii="仿宋_GB2312" w:eastAsia="仿宋_GB2312"/>
        </w:rPr>
        <w:t>测径仪的每组测头均由光源、光路系统、感光单元和信号采集及计算系统等部分组成。光源使用特种</w:t>
      </w:r>
      <w:r>
        <w:rPr>
          <w:rFonts w:eastAsia="仿宋_GB2312"/>
        </w:rPr>
        <w:t>LED</w:t>
      </w:r>
      <w:r>
        <w:rPr>
          <w:rFonts w:hint="eastAsia" w:ascii="仿宋_GB2312" w:eastAsia="仿宋_GB2312"/>
        </w:rPr>
        <w:t>，光路系统采用平行光管的准直平行光光学结构，感光单元采用高频率和高分辨率的线阵CCD。光源通过光路系统形成平行光束，平行光束包容的视场即为测量范围。被测物体从该范围内穿过时在</w:t>
      </w:r>
      <w:r>
        <w:rPr>
          <w:rFonts w:eastAsia="仿宋_GB2312"/>
        </w:rPr>
        <w:t>CCD</w:t>
      </w:r>
      <w:r>
        <w:rPr>
          <w:rFonts w:hint="eastAsia" w:ascii="仿宋_GB2312" w:eastAsia="仿宋_GB2312"/>
        </w:rPr>
        <w:t>感光面上形成影像，通过相应的计算，得出被测物体轮廓尺寸。</w:t>
      </w:r>
      <w:bookmarkStart w:id="19" w:name="_Toc202687494"/>
      <w:bookmarkStart w:id="20" w:name="_Toc215548048"/>
      <w:bookmarkStart w:id="21" w:name="_Toc215907063"/>
      <w:bookmarkStart w:id="22" w:name="_Toc215548469"/>
      <w:bookmarkStart w:id="23" w:name="_Toc202687493"/>
      <w:bookmarkStart w:id="24" w:name="_Toc202687691"/>
    </w:p>
    <w:bookmarkEnd w:id="19"/>
    <w:bookmarkEnd w:id="20"/>
    <w:bookmarkEnd w:id="21"/>
    <w:bookmarkEnd w:id="22"/>
    <w:bookmarkEnd w:id="23"/>
    <w:bookmarkEnd w:id="24"/>
    <w:p>
      <w:pPr>
        <w:pStyle w:val="3"/>
      </w:pPr>
      <w:bookmarkStart w:id="25" w:name="_Toc25255"/>
      <w:bookmarkStart w:id="26" w:name="_Toc28151"/>
      <w:bookmarkStart w:id="27" w:name="_Toc497307427"/>
      <w:bookmarkStart w:id="28" w:name="_Toc31185"/>
      <w:r>
        <w:rPr>
          <w:rFonts w:hint="eastAsia"/>
        </w:rPr>
        <w:t>1.3设备的组成</w:t>
      </w:r>
      <w:bookmarkEnd w:id="25"/>
      <w:bookmarkEnd w:id="26"/>
      <w:bookmarkEnd w:id="27"/>
      <w:bookmarkEnd w:id="28"/>
    </w:p>
    <w:p>
      <w:pPr>
        <w:spacing w:line="360" w:lineRule="auto"/>
        <w:ind w:firstLine="480"/>
        <w:rPr>
          <w:rFonts w:ascii="仿宋_GB2312" w:eastAsia="仿宋_GB2312"/>
        </w:rPr>
      </w:pPr>
      <w:r>
        <w:drawing>
          <wp:anchor distT="0" distB="0" distL="114300" distR="114300" simplePos="0" relativeHeight="251653120" behindDoc="0" locked="0" layoutInCell="1" allowOverlap="1">
            <wp:simplePos x="0" y="0"/>
            <wp:positionH relativeFrom="column">
              <wp:posOffset>2849245</wp:posOffset>
            </wp:positionH>
            <wp:positionV relativeFrom="paragraph">
              <wp:posOffset>113665</wp:posOffset>
            </wp:positionV>
            <wp:extent cx="1501775" cy="1966595"/>
            <wp:effectExtent l="0" t="0" r="3175" b="14605"/>
            <wp:wrapSquare wrapText="bothSides"/>
            <wp:docPr id="481" name="图片 481" descr="组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组成图"/>
                    <pic:cNvPicPr>
                      <a:picLocks noChangeAspect="1" noChangeArrowheads="1"/>
                    </pic:cNvPicPr>
                  </pic:nvPicPr>
                  <pic:blipFill>
                    <a:blip r:embed="rId14" cstate="print"/>
                    <a:srcRect/>
                    <a:stretch>
                      <a:fillRect/>
                    </a:stretch>
                  </pic:blipFill>
                  <pic:spPr>
                    <a:xfrm>
                      <a:off x="0" y="0"/>
                      <a:ext cx="1501775" cy="1966595"/>
                    </a:xfrm>
                    <a:prstGeom prst="rect">
                      <a:avLst/>
                    </a:prstGeom>
                    <a:noFill/>
                    <a:ln w="9525">
                      <a:noFill/>
                      <a:miter lim="800000"/>
                      <a:headEnd/>
                      <a:tailEnd/>
                    </a:ln>
                  </pic:spPr>
                </pic:pic>
              </a:graphicData>
            </a:graphic>
          </wp:anchor>
        </w:drawing>
      </w:r>
      <w:r>
        <w:rPr>
          <w:rFonts w:hint="eastAsia" w:ascii="仿宋_GB2312" w:eastAsia="仿宋_GB2312"/>
        </w:rPr>
        <w:t>蓝鹏测径仪的标准配置主要包括测量车（测径仪本体）、主控机柜、配电箱、</w:t>
      </w:r>
      <w:r>
        <w:rPr>
          <w:rFonts w:eastAsia="仿宋_GB2312"/>
        </w:rPr>
        <w:t>LED</w:t>
      </w:r>
      <w:r>
        <w:rPr>
          <w:rFonts w:hint="eastAsia" w:ascii="仿宋_GB2312" w:eastAsia="仿宋_GB2312"/>
        </w:rPr>
        <w:t>显示屏、高压鼓风机及空气过滤装置五部分。</w:t>
      </w:r>
    </w:p>
    <w:p>
      <w:pPr>
        <w:spacing w:line="360" w:lineRule="auto"/>
        <w:ind w:firstLine="480"/>
        <w:rPr>
          <w:rFonts w:ascii="仿宋_GB2312" w:eastAsia="仿宋_GB2312"/>
        </w:rPr>
      </w:pPr>
      <w:r>
        <w:rPr>
          <w:rFonts w:hint="eastAsia" w:ascii="仿宋_GB2312" w:eastAsia="仿宋_GB2312"/>
        </w:rPr>
        <w:t>基本测量功能在测量车内完成，测量车与上位计算机间采用标准工业接口通信和光纤传输方式，检测的数据分别在主控计算机的显示器和现场大</w:t>
      </w:r>
      <w:r>
        <w:rPr>
          <w:rFonts w:eastAsia="仿宋_GB2312"/>
        </w:rPr>
        <w:t>LED</w:t>
      </w:r>
      <w:r>
        <w:rPr>
          <w:rFonts w:hint="eastAsia" w:ascii="仿宋_GB2312" w:eastAsia="仿宋_GB2312"/>
        </w:rPr>
        <w:t>屏上显示。</w:t>
      </w:r>
    </w:p>
    <w:p>
      <w:pPr>
        <w:pStyle w:val="4"/>
        <w:rPr>
          <w:rFonts w:ascii="仿宋_GB2312"/>
        </w:rPr>
      </w:pPr>
      <w:bookmarkStart w:id="29" w:name="_Toc27215"/>
      <w:bookmarkStart w:id="30" w:name="_Toc497307428"/>
      <w:bookmarkStart w:id="31" w:name="_Toc4877"/>
      <w:r>
        <w:rPr>
          <w:rFonts w:hint="eastAsia" w:ascii="仿宋_GB2312"/>
        </w:rPr>
        <w:t>1.3.1测量车</w:t>
      </w:r>
      <w:bookmarkEnd w:id="29"/>
      <w:bookmarkEnd w:id="30"/>
      <w:bookmarkEnd w:id="31"/>
      <w:bookmarkStart w:id="32" w:name="_Toc201741501"/>
    </w:p>
    <w:p>
      <w:pPr>
        <w:spacing w:line="360" w:lineRule="auto"/>
        <w:ind w:firstLine="480"/>
        <w:rPr>
          <w:rFonts w:ascii="仿宋_GB2312" w:eastAsia="仿宋_GB2312"/>
        </w:rPr>
      </w:pPr>
      <w:r>
        <w:rPr>
          <w:rFonts w:hint="eastAsia" w:ascii="仿宋_GB2312" w:eastAsia="仿宋_GB2312"/>
        </w:rPr>
        <w:t>测量车内装有</w:t>
      </w:r>
      <w:r>
        <w:rPr>
          <w:rFonts w:eastAsia="仿宋_GB2312"/>
        </w:rPr>
        <w:t>8</w:t>
      </w:r>
      <w:r>
        <w:rPr>
          <w:rFonts w:hint="eastAsia" w:ascii="仿宋_GB2312" w:eastAsia="仿宋_GB2312"/>
        </w:rPr>
        <w:t>组测头，每组测头由平行光发射单元和光电子接收单元构成。发射单元内含特种</w:t>
      </w:r>
      <w:r>
        <w:rPr>
          <w:rFonts w:eastAsia="仿宋_GB2312"/>
        </w:rPr>
        <w:t>LED</w:t>
      </w:r>
      <w:r>
        <w:rPr>
          <w:rFonts w:hint="eastAsia" w:ascii="仿宋_GB2312" w:eastAsia="仿宋_GB2312"/>
        </w:rPr>
        <w:t>光源，接收单元即数据采集处理系统。测得的数据经光纤通信传输到上位计算机。</w:t>
      </w:r>
    </w:p>
    <w:p>
      <w:pPr>
        <w:spacing w:line="360" w:lineRule="auto"/>
        <w:ind w:firstLine="480"/>
        <w:rPr>
          <w:rFonts w:ascii="仿宋_GB2312" w:eastAsia="仿宋_GB2312"/>
        </w:rPr>
      </w:pPr>
      <w:r>
        <w:rPr>
          <w:rFonts w:hint="eastAsia" w:ascii="仿宋_GB2312" w:eastAsia="仿宋_GB2312"/>
        </w:rPr>
        <w:t>测量车采用小车上下线方式，将测径仪放置到预先做好的轨道上，运行到合适位置，用螺栓固定。需要下线维修时，松开固定螺栓将设备沿垂直产线线的方向推离产线即可。</w:t>
      </w:r>
    </w:p>
    <w:p>
      <w:pPr>
        <w:spacing w:line="360" w:lineRule="auto"/>
        <w:ind w:firstLine="0" w:firstLineChars="0"/>
        <w:jc w:val="center"/>
        <w:rPr>
          <w:rFonts w:ascii="仿宋_GB2312" w:eastAsia="仿宋_GB2312"/>
        </w:rPr>
      </w:pPr>
      <w:r>
        <w:rPr>
          <w:rFonts w:ascii="仿宋_GB2312" w:eastAsia="仿宋_GB2312"/>
        </w:rPr>
        <w:pict>
          <v:shape id="_x0000_s1568" o:spid="_x0000_s1568" o:spt="202" type="#_x0000_t202" style="position:absolute;left:0pt;margin-left:126.9pt;margin-top:144.95pt;height:28.35pt;width:93.5pt;z-index:251665408;mso-width-relative:margin;mso-height-relative:margin;" stroked="f" coordsize="21600,21600">
            <v:path/>
            <v:fill focussize="0,0"/>
            <v:stroke on="f" joinstyle="miter"/>
            <v:imagedata o:title=""/>
            <o:lock v:ext="edit"/>
            <v:textbox>
              <w:txbxContent>
                <w:p>
                  <w:pPr>
                    <w:ind w:firstLine="0" w:firstLineChars="0"/>
                    <w:jc w:val="center"/>
                  </w:pPr>
                  <w:r>
                    <w:rPr>
                      <w:rFonts w:hint="eastAsia"/>
                    </w:rPr>
                    <w:t>图1.3  测量车</w:t>
                  </w:r>
                </w:p>
                <w:p>
                  <w:pPr>
                    <w:ind w:firstLine="480"/>
                  </w:pPr>
                </w:p>
              </w:txbxContent>
            </v:textbox>
          </v:shape>
        </w:pict>
      </w:r>
      <w:r>
        <w:rPr>
          <w:rFonts w:ascii="仿宋_GB2312" w:eastAsia="仿宋_GB2312"/>
        </w:rPr>
        <w:drawing>
          <wp:inline distT="0" distB="0" distL="0" distR="0">
            <wp:extent cx="3723640" cy="1694815"/>
            <wp:effectExtent l="19050" t="0" r="0" b="0"/>
            <wp:docPr id="448" name="图片 447" descr="1599545775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7" descr="1599545775 - 副本.jpg"/>
                    <pic:cNvPicPr>
                      <a:picLocks noChangeAspect="1"/>
                    </pic:cNvPicPr>
                  </pic:nvPicPr>
                  <pic:blipFill>
                    <a:blip r:embed="rId15" cstate="print"/>
                    <a:stretch>
                      <a:fillRect/>
                    </a:stretch>
                  </pic:blipFill>
                  <pic:spPr>
                    <a:xfrm>
                      <a:off x="0" y="0"/>
                      <a:ext cx="3723810" cy="1695238"/>
                    </a:xfrm>
                    <a:prstGeom prst="rect">
                      <a:avLst/>
                    </a:prstGeom>
                  </pic:spPr>
                </pic:pic>
              </a:graphicData>
            </a:graphic>
          </wp:inline>
        </w:drawing>
      </w:r>
    </w:p>
    <w:p>
      <w:pPr>
        <w:spacing w:line="360" w:lineRule="auto"/>
        <w:ind w:firstLine="480"/>
        <w:rPr>
          <w:rFonts w:ascii="仿宋_GB2312" w:eastAsia="仿宋_GB2312"/>
        </w:rPr>
      </w:pPr>
    </w:p>
    <w:p>
      <w:pPr>
        <w:spacing w:line="360" w:lineRule="auto"/>
        <w:ind w:firstLine="480"/>
        <w:rPr>
          <w:rFonts w:ascii="仿宋_GB2312" w:eastAsia="仿宋_GB2312"/>
        </w:rPr>
      </w:pPr>
      <w:r>
        <w:rPr>
          <w:rFonts w:hint="eastAsia" w:ascii="仿宋_GB2312" w:eastAsia="仿宋_GB2312"/>
        </w:rPr>
        <w:t>测量车通过管路与高压鼓风机联接，高压鼓风机持续向测量车输送洁净的冷风</w:t>
      </w:r>
      <w:bookmarkEnd w:id="32"/>
      <w:r>
        <w:rPr>
          <w:rFonts w:hint="eastAsia" w:ascii="仿宋_GB2312" w:eastAsia="仿宋_GB2312"/>
        </w:rPr>
        <w:t>，这样既保证测量车内的光电元件处于有效的工作温度下也将轧线上的水雾和氧化皮等灰尘阻挡在测量车外。</w:t>
      </w:r>
    </w:p>
    <w:p>
      <w:pPr>
        <w:spacing w:line="360" w:lineRule="auto"/>
        <w:ind w:firstLine="482"/>
        <w:rPr>
          <w:rFonts w:ascii="仿宋_GB2312" w:eastAsia="仿宋_GB2312"/>
          <w:b/>
        </w:rPr>
      </w:pPr>
      <w:r>
        <w:rPr>
          <w:rFonts w:hint="eastAsia" w:ascii="仿宋_GB2312" w:eastAsia="仿宋_GB2312"/>
          <w:b/>
        </w:rPr>
        <w:t>注意：测量车上线工作时鼓风机不得停机！如果测量车长时间未上线且鼓风机未开，在测量车上线前应清理测量车内灰尘并擦拭镜头的视窗镜片！</w:t>
      </w:r>
    </w:p>
    <w:p>
      <w:pPr>
        <w:pStyle w:val="4"/>
        <w:rPr>
          <w:rFonts w:ascii="仿宋_GB2312"/>
        </w:rPr>
      </w:pPr>
      <w:bookmarkStart w:id="33" w:name="_Toc9688"/>
      <w:bookmarkStart w:id="34" w:name="_Toc497307429"/>
      <w:bookmarkStart w:id="35" w:name="_Toc5694"/>
      <w:r>
        <w:rPr>
          <w:rFonts w:hint="eastAsia" w:ascii="仿宋_GB2312"/>
        </w:rPr>
        <w:t>1.3.2主控机柜</w:t>
      </w:r>
      <w:bookmarkEnd w:id="33"/>
      <w:bookmarkEnd w:id="34"/>
      <w:bookmarkEnd w:id="35"/>
    </w:p>
    <w:p>
      <w:pPr>
        <w:spacing w:line="360" w:lineRule="auto"/>
        <w:ind w:firstLine="480"/>
        <w:rPr>
          <w:rFonts w:ascii="仿宋_GB2312" w:eastAsia="仿宋_GB2312"/>
        </w:rPr>
      </w:pPr>
      <w:r>
        <w:rPr>
          <w:rFonts w:hint="eastAsia" w:ascii="仿宋_GB2312" w:eastAsia="仿宋_GB2312"/>
        </w:rPr>
        <w:t>主控机柜内装控制和辅助电路以及终端机，主要完成整机供电控制、信号转接以及数据的处理、显示等。</w:t>
      </w:r>
    </w:p>
    <w:p>
      <w:pPr>
        <w:spacing w:line="360" w:lineRule="auto"/>
        <w:ind w:firstLine="480"/>
        <w:rPr>
          <w:rFonts w:ascii="仿宋_GB2312" w:eastAsia="仿宋_GB2312"/>
        </w:rPr>
      </w:pPr>
      <w:r>
        <w:rPr>
          <w:rFonts w:hint="eastAsia" w:ascii="仿宋_GB2312" w:eastAsia="仿宋_GB2312"/>
        </w:rPr>
        <w:t>终端机：是指置于主控机柜上层的工控机。主要完成数据的采集、处理、显示、存储以及数据的后期查询、统计、分析等，另外还进行实时的系统控制、图形显示、各种报警信号的协调处理等。</w:t>
      </w:r>
    </w:p>
    <w:p>
      <w:pPr>
        <w:spacing w:line="360" w:lineRule="auto"/>
        <w:ind w:firstLine="480"/>
        <w:rPr>
          <w:rFonts w:ascii="仿宋_GB2312" w:eastAsia="仿宋_GB2312"/>
        </w:rPr>
      </w:pPr>
      <w:r>
        <w:rPr>
          <w:rFonts w:hint="eastAsia" w:ascii="仿宋_GB2312" w:eastAsia="仿宋_GB2312"/>
        </w:rPr>
        <w:t>电器箱：置于主控机柜的下层，装有供电控制及信号辅助处理电路，负责整套测径仪的供电控制和信号的转接。</w:t>
      </w:r>
    </w:p>
    <w:p>
      <w:pPr>
        <w:spacing w:line="360" w:lineRule="auto"/>
        <w:ind w:firstLine="480"/>
        <w:rPr>
          <w:rFonts w:ascii="仿宋_GB2312" w:eastAsia="仿宋_GB2312"/>
        </w:rPr>
      </w:pPr>
      <w:r>
        <w:rPr>
          <w:rFonts w:hint="eastAsia" w:ascii="仿宋_GB2312" w:eastAsia="仿宋_GB2312"/>
        </w:rPr>
        <w:t>前面板：主控机柜前面板是设备工作方式的操作面板。前面板上共有</w:t>
      </w:r>
      <w:r>
        <w:rPr>
          <w:rFonts w:eastAsia="仿宋_GB2312"/>
        </w:rPr>
        <w:t>2</w:t>
      </w:r>
      <w:r>
        <w:rPr>
          <w:rFonts w:hint="eastAsia" w:ascii="仿宋_GB2312" w:eastAsia="仿宋_GB2312"/>
        </w:rPr>
        <w:t>个按钮：“工作开（绿）”和“工作关（红）”。</w:t>
      </w:r>
    </w:p>
    <w:p>
      <w:pPr>
        <w:spacing w:line="360" w:lineRule="auto"/>
        <w:ind w:firstLine="480"/>
        <w:rPr>
          <w:rFonts w:ascii="仿宋_GB2312" w:eastAsia="仿宋_GB2312"/>
        </w:rPr>
      </w:pPr>
      <w:r>
        <w:rPr>
          <w:rFonts w:hint="eastAsia" w:ascii="仿宋_GB2312" w:eastAsia="仿宋_GB2312"/>
        </w:rPr>
        <w:t>按下“工作开”按钮，按钮灯（绿）亮，测量车进入工作状态；按下“工作关”按钮，按钮灯（红）亮，测量车都进入停机状态。</w:t>
      </w:r>
    </w:p>
    <w:p>
      <w:pPr>
        <w:spacing w:line="360" w:lineRule="auto"/>
        <w:ind w:firstLine="480"/>
        <w:rPr>
          <w:rFonts w:ascii="仿宋_GB2312" w:eastAsia="仿宋_GB2312"/>
        </w:rPr>
      </w:pPr>
      <w:r>
        <w:rPr>
          <w:rFonts w:hint="eastAsia" w:ascii="仿宋_GB2312" w:eastAsia="仿宋_GB2312"/>
        </w:rPr>
        <w:t>后面板：主控机柜后面是设备的各种线缆的连接端，包括动力线缆（进、出）、电信号线缆、光信号线缆。</w:t>
      </w:r>
    </w:p>
    <w:p>
      <w:pPr>
        <w:pStyle w:val="4"/>
        <w:rPr>
          <w:rFonts w:ascii="仿宋_GB2312"/>
        </w:rPr>
      </w:pPr>
      <w:bookmarkStart w:id="36" w:name="_Toc21897"/>
      <w:bookmarkStart w:id="37" w:name="_Toc497307430"/>
      <w:bookmarkStart w:id="38" w:name="_Toc19464"/>
      <w:r>
        <w:rPr>
          <w:rFonts w:hint="eastAsia" w:ascii="仿宋_GB2312"/>
        </w:rPr>
        <w:t>1.3.3 LED显示屏</w:t>
      </w:r>
      <w:bookmarkEnd w:id="36"/>
      <w:bookmarkEnd w:id="37"/>
      <w:bookmarkEnd w:id="38"/>
    </w:p>
    <w:p>
      <w:pPr>
        <w:spacing w:line="360" w:lineRule="auto"/>
        <w:ind w:firstLine="480"/>
        <w:rPr>
          <w:rFonts w:ascii="仿宋_GB2312" w:eastAsia="仿宋_GB2312"/>
        </w:rPr>
      </w:pPr>
      <w:r>
        <w:rPr>
          <w:rFonts w:eastAsia="仿宋_GB2312"/>
        </w:rPr>
        <w:t>LED</w:t>
      </w:r>
      <w:r>
        <w:rPr>
          <w:rFonts w:hint="eastAsia" w:ascii="仿宋_GB2312" w:eastAsia="仿宋_GB2312"/>
        </w:rPr>
        <w:t>显示屏主要用于测量数据的生产现场显示，一般悬挂在生产现场的开阔位置，便于现场操作人员随时观察轧材的外形尺寸。</w:t>
      </w:r>
      <w:r>
        <w:rPr>
          <w:rFonts w:eastAsia="仿宋_GB2312"/>
        </w:rPr>
        <w:t>LED</w:t>
      </w:r>
      <w:r>
        <w:rPr>
          <w:rFonts w:hint="eastAsia" w:ascii="仿宋_GB2312" w:eastAsia="仿宋_GB2312"/>
        </w:rPr>
        <w:t>显示屏的显示内容为主要测量数据和设备运行状态，如：圆形截面轧材的最大直径、最小直径、椭圆度；带肋钢筋轧材的基圆、纵肋高、横肋高。运行状态包括正常、超温、超差和超温超差</w:t>
      </w:r>
      <w:r>
        <w:rPr>
          <w:rFonts w:eastAsia="仿宋_GB2312"/>
        </w:rPr>
        <w:t>4</w:t>
      </w:r>
      <w:r>
        <w:rPr>
          <w:rFonts w:hint="eastAsia" w:ascii="仿宋_GB2312" w:eastAsia="仿宋_GB2312"/>
        </w:rPr>
        <w:t>项，可及时提醒现场操作人员设备的异常情况。显示屏的刷新频率每秒</w:t>
      </w:r>
      <w:r>
        <w:rPr>
          <w:rFonts w:eastAsia="仿宋_GB2312"/>
        </w:rPr>
        <w:t>1</w:t>
      </w:r>
      <w:r>
        <w:rPr>
          <w:rFonts w:hint="eastAsia" w:ascii="仿宋_GB2312" w:eastAsia="仿宋_GB2312"/>
        </w:rPr>
        <w:t>或</w:t>
      </w:r>
      <w:r>
        <w:rPr>
          <w:rFonts w:eastAsia="仿宋_GB2312"/>
        </w:rPr>
        <w:t>3</w:t>
      </w:r>
      <w:r>
        <w:rPr>
          <w:rFonts w:hint="eastAsia" w:ascii="仿宋_GB2312" w:eastAsia="仿宋_GB2312"/>
        </w:rPr>
        <w:t>次（可按用户要求调整）。</w:t>
      </w:r>
    </w:p>
    <w:p>
      <w:pPr>
        <w:pStyle w:val="4"/>
        <w:rPr>
          <w:rFonts w:ascii="仿宋_GB2312"/>
        </w:rPr>
      </w:pPr>
      <w:bookmarkStart w:id="39" w:name="_Toc14835"/>
      <w:bookmarkStart w:id="40" w:name="_Toc21904"/>
      <w:bookmarkStart w:id="41" w:name="_Toc497307431"/>
      <w:r>
        <w:rPr>
          <w:rFonts w:hint="eastAsia" w:ascii="仿宋_GB2312"/>
        </w:rPr>
        <w:t>1.3.4电馈线</w:t>
      </w:r>
      <w:bookmarkEnd w:id="39"/>
      <w:bookmarkEnd w:id="40"/>
      <w:bookmarkEnd w:id="41"/>
    </w:p>
    <w:p>
      <w:pPr>
        <w:spacing w:line="360" w:lineRule="auto"/>
        <w:ind w:firstLine="480"/>
        <w:rPr>
          <w:rFonts w:ascii="仿宋_GB2312" w:eastAsia="仿宋_GB2312"/>
        </w:rPr>
      </w:pPr>
      <w:r>
        <w:rPr>
          <w:rFonts w:hint="eastAsia" w:ascii="仿宋_GB2312" w:eastAsia="仿宋_GB2312"/>
        </w:rPr>
        <w:t>电路部分：由供电部分和信号部分实现系统的外部电路连接。</w:t>
      </w:r>
    </w:p>
    <w:p>
      <w:pPr>
        <w:spacing w:line="360" w:lineRule="auto"/>
        <w:ind w:firstLine="480"/>
        <w:rPr>
          <w:rFonts w:ascii="仿宋_GB2312" w:eastAsia="仿宋_GB2312"/>
        </w:rPr>
      </w:pPr>
      <w:r>
        <w:rPr>
          <w:rFonts w:hint="eastAsia" w:ascii="仿宋_GB2312" w:eastAsia="仿宋_GB2312"/>
        </w:rPr>
        <w:t>供电部分的连接，是由现场预留的动力电缆（交流照明电）分别提供给主控机柜和现场</w:t>
      </w:r>
      <w:r>
        <w:rPr>
          <w:rFonts w:eastAsia="仿宋_GB2312"/>
        </w:rPr>
        <w:t>LED</w:t>
      </w:r>
      <w:r>
        <w:rPr>
          <w:rFonts w:hint="eastAsia" w:ascii="仿宋_GB2312" w:eastAsia="仿宋_GB2312"/>
        </w:rPr>
        <w:t>显示屏；主控机柜的电源输出连接到测量车。信号部分的连接，是在主控机柜与测量车之间以及主控机柜与现场</w:t>
      </w:r>
      <w:r>
        <w:rPr>
          <w:rFonts w:eastAsia="仿宋_GB2312"/>
        </w:rPr>
        <w:t>LED</w:t>
      </w:r>
      <w:r>
        <w:rPr>
          <w:rFonts w:hint="eastAsia" w:ascii="仿宋_GB2312" w:eastAsia="仿宋_GB2312"/>
        </w:rPr>
        <w:t>显示屏之间进行的。主控柜与测量车之间通过光缆连接，主控柜与现场</w:t>
      </w:r>
      <w:r>
        <w:rPr>
          <w:rFonts w:eastAsia="仿宋_GB2312"/>
        </w:rPr>
        <w:t>LED</w:t>
      </w:r>
      <w:r>
        <w:rPr>
          <w:rFonts w:hint="eastAsia" w:ascii="仿宋_GB2312" w:eastAsia="仿宋_GB2312"/>
        </w:rPr>
        <w:t>显示屏之间通过电缆连接。</w:t>
      </w:r>
    </w:p>
    <w:p>
      <w:pPr>
        <w:pStyle w:val="4"/>
        <w:rPr>
          <w:rFonts w:ascii="仿宋_GB2312"/>
        </w:rPr>
      </w:pPr>
      <w:bookmarkStart w:id="42" w:name="_Toc6701"/>
      <w:bookmarkStart w:id="43" w:name="_Toc17974"/>
      <w:bookmarkStart w:id="44" w:name="_Toc497307432"/>
      <w:r>
        <w:rPr>
          <w:rFonts w:hint="eastAsia" w:ascii="仿宋_GB2312"/>
        </w:rPr>
        <w:t>1.3.5高压鼓风机及空气过滤装置</w:t>
      </w:r>
      <w:bookmarkEnd w:id="42"/>
      <w:bookmarkEnd w:id="43"/>
      <w:bookmarkEnd w:id="44"/>
    </w:p>
    <w:p>
      <w:pPr>
        <w:spacing w:line="360" w:lineRule="auto"/>
        <w:ind w:firstLine="480"/>
        <w:rPr>
          <w:rFonts w:ascii="仿宋_GB2312" w:eastAsia="仿宋_GB2312"/>
        </w:rPr>
      </w:pPr>
      <w:r>
        <w:rPr>
          <w:rFonts w:hint="eastAsia" w:ascii="仿宋_GB2312" w:eastAsia="仿宋_GB2312"/>
        </w:rPr>
        <w:t>高压鼓风机是保障测径仪正常连续运行的重要辅件，</w:t>
      </w:r>
      <w:r>
        <w:rPr>
          <w:rFonts w:hint="eastAsia" w:ascii="仿宋_GB2312" w:eastAsia="仿宋_GB2312"/>
          <w:b/>
        </w:rPr>
        <w:t>测量车在线工作时鼓风机不准停机</w:t>
      </w:r>
      <w:r>
        <w:rPr>
          <w:rFonts w:hint="eastAsia" w:ascii="仿宋_GB2312" w:eastAsia="仿宋_GB2312"/>
        </w:rPr>
        <w:t>。它的主要作用是向测量车持续送风从而实现对测量车内的光电元件冷却和阻止水雾、灰尘进入测量车内。</w:t>
      </w:r>
    </w:p>
    <w:p>
      <w:pPr>
        <w:spacing w:line="360" w:lineRule="auto"/>
        <w:ind w:firstLine="480"/>
        <w:rPr>
          <w:rFonts w:ascii="仿宋_GB2312" w:eastAsia="仿宋_GB2312"/>
        </w:rPr>
      </w:pPr>
      <w:r>
        <w:rPr>
          <w:rFonts w:hint="eastAsia" w:ascii="仿宋_GB2312" w:eastAsia="仿宋_GB2312"/>
        </w:rPr>
        <w:t>空气过滤装置安装在鼓风机的进风口，阻止灰尘进入鼓风机和测量车内。</w:t>
      </w:r>
      <w:r>
        <w:rPr>
          <w:rFonts w:hint="eastAsia" w:ascii="仿宋_GB2312" w:eastAsia="仿宋_GB2312"/>
          <w:b/>
        </w:rPr>
        <w:t>空气过滤装置的滤芯需要时常清理和及时更换。</w:t>
      </w:r>
      <w:r>
        <w:rPr>
          <w:rFonts w:hint="eastAsia" w:ascii="仿宋_GB2312" w:eastAsia="仿宋_GB2312"/>
        </w:rPr>
        <w:t>一般两周清理一次，半年更换新滤芯。清理和更换周期与现场环境有关，用户可根据车间环境自行调整。</w:t>
      </w:r>
    </w:p>
    <w:p>
      <w:pPr>
        <w:pStyle w:val="3"/>
      </w:pPr>
      <w:bookmarkStart w:id="45" w:name="_Toc497307433"/>
      <w:bookmarkStart w:id="46" w:name="_Toc25290"/>
      <w:bookmarkStart w:id="47" w:name="_Toc29292"/>
      <w:bookmarkStart w:id="48" w:name="_Toc21846"/>
      <w:bookmarkStart w:id="49" w:name="_Toc22843"/>
    </w:p>
    <w:p>
      <w:pPr>
        <w:pStyle w:val="3"/>
      </w:pPr>
      <w:bookmarkStart w:id="50" w:name="_Toc25002"/>
      <w:r>
        <w:rPr>
          <w:rFonts w:hint="eastAsia"/>
        </w:rPr>
        <w:t>1.4主要技术参数</w:t>
      </w:r>
      <w:bookmarkEnd w:id="45"/>
      <w:bookmarkEnd w:id="46"/>
      <w:bookmarkEnd w:id="47"/>
      <w:bookmarkEnd w:id="48"/>
      <w:bookmarkEnd w:id="49"/>
      <w:bookmarkEnd w:id="50"/>
    </w:p>
    <w:p>
      <w:pPr>
        <w:pStyle w:val="4"/>
        <w:rPr>
          <w:rFonts w:ascii="仿宋_GB2312"/>
        </w:rPr>
      </w:pPr>
      <w:bookmarkStart w:id="51" w:name="_Toc497307434"/>
      <w:r>
        <w:rPr>
          <w:rFonts w:hint="eastAsia" w:ascii="仿宋_GB2312"/>
        </w:rPr>
        <w:t>1.4.1 测量范围：</w:t>
      </w:r>
      <w:bookmarkEnd w:id="51"/>
      <w:r>
        <w:rPr>
          <w:rFonts w:hint="eastAsia" w:ascii="仿宋_GB2312"/>
        </w:rPr>
        <w:t xml:space="preserve"> </w:t>
      </w:r>
    </w:p>
    <w:p>
      <w:pPr>
        <w:spacing w:line="360" w:lineRule="auto"/>
        <w:ind w:firstLine="480"/>
        <w:rPr>
          <w:rFonts w:eastAsia="仿宋_GB2312"/>
        </w:rPr>
      </w:pPr>
      <w:r>
        <w:rPr>
          <w:rFonts w:hint="eastAsia" w:eastAsia="仿宋_GB2312"/>
          <w:lang w:eastAsia="zh-CN"/>
        </w:rPr>
        <w:t>测量范围：</w:t>
      </w:r>
      <w:r>
        <w:rPr>
          <w:rFonts w:hint="eastAsia" w:eastAsia="仿宋_GB2312"/>
        </w:rPr>
        <w:t>0</w:t>
      </w:r>
      <w:r>
        <w:rPr>
          <w:rFonts w:eastAsia="仿宋_GB2312"/>
        </w:rPr>
        <w:t>.00～</w:t>
      </w:r>
      <w:r>
        <w:rPr>
          <w:rFonts w:hint="eastAsia" w:eastAsia="仿宋_GB2312"/>
        </w:rPr>
        <w:t>40</w:t>
      </w:r>
      <w:r>
        <w:rPr>
          <w:rFonts w:eastAsia="仿宋_GB2312"/>
        </w:rPr>
        <w:t>.00 （mm）</w:t>
      </w:r>
    </w:p>
    <w:p>
      <w:pPr>
        <w:pStyle w:val="4"/>
        <w:rPr>
          <w:rFonts w:ascii="仿宋_GB2312"/>
        </w:rPr>
      </w:pPr>
      <w:bookmarkStart w:id="52" w:name="_Toc497307435"/>
      <w:r>
        <w:rPr>
          <w:rFonts w:hint="eastAsia" w:ascii="仿宋_GB2312"/>
        </w:rPr>
        <w:t>1.4.2 允许偏差：</w:t>
      </w:r>
      <w:bookmarkEnd w:id="52"/>
    </w:p>
    <w:p>
      <w:pPr>
        <w:spacing w:line="360" w:lineRule="auto"/>
        <w:ind w:firstLine="480"/>
        <w:rPr>
          <w:rFonts w:eastAsia="仿宋_GB2312"/>
        </w:rPr>
      </w:pPr>
      <w:r>
        <w:rPr>
          <w:rFonts w:hint="eastAsia" w:ascii="仿宋_GB2312" w:eastAsia="仿宋_GB2312"/>
        </w:rPr>
        <w:t>测量圆钢：      ≤</w:t>
      </w:r>
      <w:bookmarkStart w:id="269" w:name="_GoBack"/>
      <w:bookmarkEnd w:id="269"/>
      <w:r>
        <w:rPr>
          <w:rFonts w:eastAsia="仿宋_GB2312"/>
        </w:rPr>
        <w:t>0.0</w:t>
      </w:r>
      <w:r>
        <w:rPr>
          <w:rFonts w:hint="eastAsia" w:eastAsia="仿宋_GB2312"/>
          <w:lang w:val="en-US" w:eastAsia="zh-CN"/>
        </w:rPr>
        <w:t>1</w:t>
      </w:r>
      <w:r>
        <w:rPr>
          <w:rFonts w:eastAsia="仿宋_GB2312"/>
        </w:rPr>
        <w:t xml:space="preserve">  （mm）</w:t>
      </w:r>
    </w:p>
    <w:p>
      <w:pPr>
        <w:pStyle w:val="4"/>
        <w:rPr>
          <w:rFonts w:ascii="仿宋_GB2312"/>
        </w:rPr>
      </w:pPr>
      <w:bookmarkStart w:id="53" w:name="_Toc497307436"/>
      <w:r>
        <w:rPr>
          <w:rFonts w:hint="eastAsia" w:ascii="仿宋_GB2312"/>
        </w:rPr>
        <w:t>1.4.3 重复性：</w:t>
      </w:r>
      <w:bookmarkEnd w:id="53"/>
    </w:p>
    <w:p>
      <w:pPr>
        <w:spacing w:line="360" w:lineRule="auto"/>
        <w:ind w:firstLine="480"/>
        <w:rPr>
          <w:rFonts w:eastAsia="仿宋_GB2312"/>
        </w:rPr>
      </w:pPr>
      <w:r>
        <w:rPr>
          <w:rFonts w:hint="eastAsia" w:eastAsia="仿宋_GB2312"/>
          <w:lang w:eastAsia="zh-CN"/>
        </w:rPr>
        <w:t>＜</w:t>
      </w:r>
      <w:r>
        <w:rPr>
          <w:rFonts w:eastAsia="仿宋_GB2312"/>
        </w:rPr>
        <w:t>0.01   （mm）</w:t>
      </w:r>
    </w:p>
    <w:p>
      <w:pPr>
        <w:pStyle w:val="4"/>
        <w:rPr>
          <w:rFonts w:ascii="仿宋_GB2312"/>
        </w:rPr>
      </w:pPr>
      <w:bookmarkStart w:id="54" w:name="_Toc497307437"/>
      <w:r>
        <w:rPr>
          <w:rFonts w:hint="eastAsia" w:ascii="仿宋_GB2312"/>
        </w:rPr>
        <w:t>1.4.4 测量频率：</w:t>
      </w:r>
      <w:bookmarkEnd w:id="54"/>
    </w:p>
    <w:p>
      <w:pPr>
        <w:spacing w:line="360" w:lineRule="auto"/>
        <w:ind w:firstLine="480"/>
        <w:rPr>
          <w:rFonts w:eastAsia="仿宋_GB2312"/>
        </w:rPr>
      </w:pPr>
      <w:r>
        <w:rPr>
          <w:rFonts w:hint="eastAsia" w:eastAsia="仿宋_GB2312"/>
          <w:lang w:val="en-US" w:eastAsia="zh-CN"/>
        </w:rPr>
        <w:t>2</w:t>
      </w:r>
      <w:r>
        <w:rPr>
          <w:rFonts w:hint="eastAsia" w:eastAsia="仿宋_GB2312"/>
        </w:rPr>
        <w:t>0</w:t>
      </w:r>
      <w:r>
        <w:rPr>
          <w:rFonts w:eastAsia="仿宋_GB2312"/>
        </w:rPr>
        <w:t>00Hz</w:t>
      </w:r>
    </w:p>
    <w:p>
      <w:pPr>
        <w:pStyle w:val="4"/>
        <w:rPr>
          <w:rFonts w:ascii="仿宋_GB2312"/>
        </w:rPr>
      </w:pPr>
      <w:bookmarkStart w:id="55" w:name="_Toc497307438"/>
      <w:r>
        <w:rPr>
          <w:rFonts w:hint="eastAsia" w:ascii="仿宋_GB2312"/>
        </w:rPr>
        <w:t>1.4.5 显示内容：</w:t>
      </w:r>
      <w:bookmarkEnd w:id="55"/>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rPr>
      </w:pPr>
      <w:bookmarkStart w:id="56" w:name="_Toc497307439"/>
      <w:r>
        <w:rPr>
          <w:rFonts w:hint="eastAsia"/>
        </w:rPr>
        <w:t>主控室LCD显示器：轧材外轮廓尺寸及截面图、公差带及超差数，尺寸波动趋势预报，缺陷分析曲线，圆钢截面的最大/最小直径、椭圆度，各路测头的分项测量值。</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rPr>
      </w:pPr>
      <w:r>
        <w:rPr>
          <w:rFonts w:hint="eastAsia"/>
        </w:rPr>
        <w:t>嵌入式智能模块显示屏：圆钢截面的最大/最小直径、椭圆度，测量中心高度、风压、温度等。</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rPr>
      </w:pPr>
      <w:r>
        <w:rPr>
          <w:rFonts w:hint="eastAsia"/>
        </w:rPr>
        <w:t>现场LED显示屏：现场显示圆钢测量的最大/最小直径、椭圆度、设备运行状态。</w:t>
      </w:r>
    </w:p>
    <w:p>
      <w:pPr>
        <w:pStyle w:val="4"/>
        <w:rPr>
          <w:rFonts w:ascii="仿宋_GB2312"/>
        </w:rPr>
      </w:pPr>
      <w:r>
        <w:rPr>
          <w:rFonts w:hint="eastAsia" w:ascii="仿宋_GB2312"/>
        </w:rPr>
        <w:t>1.4.6 报警功能：</w:t>
      </w:r>
      <w:bookmarkEnd w:id="56"/>
    </w:p>
    <w:p>
      <w:pPr>
        <w:spacing w:line="360" w:lineRule="auto"/>
        <w:ind w:firstLine="480"/>
        <w:rPr>
          <w:rFonts w:ascii="仿宋_GB2312" w:eastAsia="仿宋_GB2312"/>
        </w:rPr>
      </w:pPr>
      <w:r>
        <w:rPr>
          <w:rFonts w:hint="eastAsia" w:ascii="仿宋_GB2312" w:eastAsia="仿宋_GB2312"/>
        </w:rPr>
        <w:t>当测量数据和测量车温度超出设定范围后，声、光同时报警（超差和超温）。</w:t>
      </w:r>
    </w:p>
    <w:p>
      <w:pPr>
        <w:pStyle w:val="4"/>
        <w:rPr>
          <w:rFonts w:ascii="仿宋_GB2312"/>
        </w:rPr>
      </w:pPr>
      <w:bookmarkStart w:id="57" w:name="_Toc497307440"/>
      <w:r>
        <w:rPr>
          <w:rFonts w:hint="eastAsia" w:ascii="仿宋_GB2312"/>
        </w:rPr>
        <w:t>1.4.7 缺陷判断功能</w:t>
      </w:r>
      <w:bookmarkEnd w:id="57"/>
    </w:p>
    <w:p>
      <w:pPr>
        <w:ind w:firstLine="480"/>
      </w:pPr>
      <w:r>
        <w:rPr>
          <w:rFonts w:hint="eastAsia"/>
        </w:rPr>
        <w:t>可对轧材常见缺陷如：耳子、错辊、缺肉等缺陷类型进行判断。</w:t>
      </w:r>
    </w:p>
    <w:p>
      <w:pPr>
        <w:pStyle w:val="4"/>
        <w:rPr>
          <w:rFonts w:ascii="仿宋_GB2312"/>
        </w:rPr>
      </w:pPr>
      <w:bookmarkStart w:id="58" w:name="_Toc497307441"/>
      <w:r>
        <w:rPr>
          <w:rFonts w:hint="eastAsia" w:ascii="仿宋_GB2312"/>
        </w:rPr>
        <w:t>1.4.8 数据存储功能</w:t>
      </w:r>
      <w:bookmarkEnd w:id="58"/>
    </w:p>
    <w:p>
      <w:pPr>
        <w:spacing w:line="360" w:lineRule="auto"/>
        <w:ind w:firstLine="480"/>
        <w:rPr>
          <w:rFonts w:ascii="仿宋_GB2312" w:eastAsia="仿宋_GB2312"/>
        </w:rPr>
      </w:pPr>
      <w:r>
        <w:rPr>
          <w:rFonts w:hint="eastAsia" w:ascii="仿宋_GB2312" w:eastAsia="仿宋_GB2312"/>
        </w:rPr>
        <w:t>可</w:t>
      </w:r>
      <w:r>
        <w:rPr>
          <w:rFonts w:ascii="仿宋_GB2312" w:eastAsia="仿宋_GB2312"/>
        </w:rPr>
        <w:t>存储</w:t>
      </w:r>
      <w:r>
        <w:rPr>
          <w:rFonts w:hint="eastAsia" w:ascii="仿宋_GB2312" w:eastAsia="仿宋_GB2312"/>
        </w:rPr>
        <w:t>、</w:t>
      </w:r>
      <w:r>
        <w:rPr>
          <w:rFonts w:ascii="仿宋_GB2312" w:eastAsia="仿宋_GB2312"/>
        </w:rPr>
        <w:t>查询测量数据</w:t>
      </w:r>
      <w:r>
        <w:rPr>
          <w:rFonts w:hint="eastAsia" w:ascii="仿宋_GB2312" w:eastAsia="仿宋_GB2312"/>
        </w:rPr>
        <w:t>。测量数据存入数据库，方便用户提取、分析、统计等。</w:t>
      </w:r>
    </w:p>
    <w:p>
      <w:pPr>
        <w:pStyle w:val="4"/>
        <w:rPr>
          <w:rFonts w:ascii="仿宋_GB2312"/>
        </w:rPr>
      </w:pPr>
      <w:bookmarkStart w:id="59" w:name="_Toc497307443"/>
      <w:r>
        <w:rPr>
          <w:rFonts w:hint="eastAsia" w:ascii="仿宋_GB2312"/>
        </w:rPr>
        <w:t>1.4.9 通信协议：</w:t>
      </w:r>
      <w:bookmarkEnd w:id="59"/>
    </w:p>
    <w:p>
      <w:pPr>
        <w:spacing w:line="360" w:lineRule="auto"/>
        <w:ind w:firstLine="480"/>
        <w:rPr>
          <w:rFonts w:eastAsia="仿宋_GB2312"/>
        </w:rPr>
      </w:pPr>
      <w:r>
        <w:rPr>
          <w:rFonts w:eastAsia="仿宋_GB2312"/>
        </w:rPr>
        <w:t>TCP/IP</w:t>
      </w:r>
    </w:p>
    <w:p>
      <w:pPr>
        <w:pStyle w:val="4"/>
        <w:ind w:left="0" w:leftChars="0" w:firstLine="241" w:firstLineChars="100"/>
        <w:rPr>
          <w:rFonts w:ascii="仿宋_GB2312"/>
        </w:rPr>
      </w:pPr>
      <w:bookmarkStart w:id="60" w:name="_Toc497307444"/>
      <w:r>
        <w:rPr>
          <w:rFonts w:hint="eastAsia" w:ascii="仿宋_GB2312"/>
        </w:rPr>
        <w:t>1.4.10 设备功耗：</w:t>
      </w:r>
      <w:bookmarkEnd w:id="60"/>
    </w:p>
    <w:p>
      <w:pPr>
        <w:spacing w:line="360" w:lineRule="auto"/>
        <w:ind w:firstLine="480"/>
        <w:rPr>
          <w:rFonts w:ascii="仿宋_GB2312" w:eastAsia="仿宋_GB2312"/>
        </w:rPr>
      </w:pPr>
      <w:r>
        <w:rPr>
          <w:rFonts w:hint="eastAsia" w:ascii="仿宋_GB2312" w:eastAsia="仿宋_GB2312"/>
        </w:rPr>
        <w:t>测量车</w:t>
      </w:r>
      <w:r>
        <w:rPr>
          <w:rFonts w:eastAsia="仿宋_GB2312"/>
        </w:rPr>
        <w:t>+LED</w:t>
      </w:r>
      <w:r>
        <w:rPr>
          <w:rFonts w:hint="eastAsia" w:ascii="仿宋_GB2312" w:eastAsia="仿宋_GB2312"/>
        </w:rPr>
        <w:t>显示屏： ≤</w:t>
      </w:r>
      <w:r>
        <w:rPr>
          <w:rFonts w:hint="eastAsia" w:eastAsia="仿宋_GB2312"/>
        </w:rPr>
        <w:t xml:space="preserve">1.1 </w:t>
      </w:r>
      <w:r>
        <w:rPr>
          <w:rFonts w:eastAsia="仿宋_GB2312"/>
        </w:rPr>
        <w:t>kW</w:t>
      </w:r>
    </w:p>
    <w:p>
      <w:pPr>
        <w:spacing w:line="360" w:lineRule="auto"/>
        <w:ind w:firstLine="480"/>
        <w:rPr>
          <w:rFonts w:ascii="仿宋_GB2312" w:eastAsia="仿宋_GB2312"/>
        </w:rPr>
      </w:pPr>
      <w:r>
        <w:rPr>
          <w:rFonts w:hint="eastAsia" w:ascii="仿宋_GB2312" w:eastAsia="仿宋_GB2312"/>
        </w:rPr>
        <w:t>工控机：            ≤</w:t>
      </w:r>
      <w:r>
        <w:rPr>
          <w:rFonts w:eastAsia="仿宋_GB2312"/>
        </w:rPr>
        <w:t>300 W</w:t>
      </w:r>
    </w:p>
    <w:p>
      <w:pPr>
        <w:spacing w:line="360" w:lineRule="auto"/>
        <w:ind w:firstLine="480"/>
        <w:rPr>
          <w:rFonts w:ascii="仿宋_GB2312" w:eastAsia="仿宋_GB2312"/>
        </w:rPr>
      </w:pPr>
      <w:r>
        <w:rPr>
          <w:rFonts w:hint="eastAsia" w:ascii="仿宋_GB2312" w:eastAsia="仿宋_GB2312"/>
        </w:rPr>
        <w:t xml:space="preserve">高压鼓风机：        </w:t>
      </w:r>
      <w:r>
        <w:rPr>
          <w:rFonts w:hint="eastAsia" w:eastAsia="仿宋_GB2312"/>
        </w:rPr>
        <w:t xml:space="preserve">4.0 </w:t>
      </w:r>
      <w:r>
        <w:rPr>
          <w:rFonts w:eastAsia="仿宋_GB2312"/>
        </w:rPr>
        <w:t xml:space="preserve"> kW</w:t>
      </w:r>
    </w:p>
    <w:p>
      <w:pPr>
        <w:pStyle w:val="3"/>
      </w:pPr>
      <w:bookmarkStart w:id="61" w:name="_Toc16233"/>
      <w:bookmarkStart w:id="62" w:name="_Toc497307445"/>
      <w:bookmarkStart w:id="63" w:name="_Toc26140"/>
      <w:bookmarkStart w:id="64" w:name="_Toc11158"/>
      <w:bookmarkStart w:id="65" w:name="_Toc21798"/>
      <w:bookmarkStart w:id="66" w:name="_Toc9163"/>
      <w:r>
        <w:rPr>
          <w:rFonts w:hint="eastAsia"/>
        </w:rPr>
        <w:t>1.5使用环境要求</w:t>
      </w:r>
      <w:bookmarkEnd w:id="61"/>
      <w:bookmarkEnd w:id="62"/>
      <w:bookmarkEnd w:id="63"/>
      <w:bookmarkEnd w:id="64"/>
      <w:bookmarkEnd w:id="65"/>
      <w:bookmarkEnd w:id="66"/>
    </w:p>
    <w:p>
      <w:pPr>
        <w:pStyle w:val="4"/>
        <w:rPr>
          <w:rFonts w:ascii="仿宋_GB2312"/>
        </w:rPr>
      </w:pPr>
      <w:bookmarkStart w:id="67" w:name="_Toc497307446"/>
      <w:r>
        <w:rPr>
          <w:rFonts w:hint="eastAsia" w:ascii="仿宋_GB2312"/>
        </w:rPr>
        <w:t>1.5.1电源电压（</w:t>
      </w:r>
      <w:r>
        <w:t>V</w:t>
      </w:r>
      <w:r>
        <w:rPr>
          <w:rFonts w:hint="eastAsia" w:ascii="仿宋_GB2312"/>
        </w:rPr>
        <w:t>）：</w:t>
      </w:r>
      <w:bookmarkEnd w:id="67"/>
      <w:r>
        <w:rPr>
          <w:rFonts w:hint="eastAsia" w:ascii="仿宋_GB2312"/>
        </w:rPr>
        <w:t xml:space="preserve">   </w:t>
      </w:r>
    </w:p>
    <w:p>
      <w:pPr>
        <w:spacing w:line="360" w:lineRule="auto"/>
        <w:ind w:firstLine="480"/>
        <w:rPr>
          <w:rFonts w:eastAsia="仿宋_GB2312"/>
        </w:rPr>
      </w:pPr>
      <w:r>
        <w:rPr>
          <w:rFonts w:eastAsia="仿宋_GB2312"/>
        </w:rPr>
        <w:t>AC220±15%  50Hz、AC380±15%  50Hz</w:t>
      </w:r>
    </w:p>
    <w:p>
      <w:pPr>
        <w:pStyle w:val="4"/>
        <w:rPr>
          <w:rFonts w:ascii="仿宋_GB2312"/>
        </w:rPr>
      </w:pPr>
      <w:bookmarkStart w:id="68" w:name="_Toc497307447"/>
      <w:r>
        <w:rPr>
          <w:rFonts w:hint="eastAsia" w:ascii="仿宋_GB2312"/>
        </w:rPr>
        <w:t>1.5.2环境温度（</w:t>
      </w:r>
      <w:r>
        <w:t>℃</w:t>
      </w:r>
      <w:r>
        <w:rPr>
          <w:rFonts w:hint="eastAsia" w:ascii="仿宋_GB2312"/>
        </w:rPr>
        <w:t>）：</w:t>
      </w:r>
      <w:bookmarkEnd w:id="68"/>
      <w:r>
        <w:rPr>
          <w:rFonts w:hint="eastAsia" w:ascii="仿宋_GB2312"/>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rPr>
      </w:pPr>
      <w:bookmarkStart w:id="69" w:name="_Toc497307448"/>
      <w:r>
        <w:rPr>
          <w:rFonts w:hint="eastAsia"/>
        </w:rPr>
        <w:t>测径仪、LED显示屏：-15～50</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rPr>
      </w:pPr>
      <w:r>
        <w:rPr>
          <w:rFonts w:hint="eastAsia"/>
        </w:rPr>
        <w:t>终端工控机：0～35</w:t>
      </w:r>
    </w:p>
    <w:p>
      <w:pPr>
        <w:pStyle w:val="4"/>
        <w:rPr>
          <w:rFonts w:ascii="仿宋_GB2312"/>
        </w:rPr>
      </w:pPr>
      <w:r>
        <w:rPr>
          <w:rFonts w:hint="eastAsia" w:ascii="仿宋_GB2312"/>
        </w:rPr>
        <w:t>1.5.3环境湿度(</w:t>
      </w:r>
      <w:r>
        <w:t>％</w:t>
      </w:r>
      <w:r>
        <w:rPr>
          <w:rFonts w:hint="eastAsia" w:ascii="仿宋_GB2312"/>
        </w:rPr>
        <w:t>)：</w:t>
      </w:r>
      <w:bookmarkEnd w:id="69"/>
      <w:r>
        <w:rPr>
          <w:rFonts w:hint="eastAsia" w:ascii="仿宋_GB2312"/>
        </w:rPr>
        <w:t xml:space="preserve">   </w:t>
      </w:r>
    </w:p>
    <w:p>
      <w:pPr>
        <w:spacing w:line="360" w:lineRule="auto"/>
        <w:ind w:firstLine="480"/>
        <w:rPr>
          <w:rFonts w:hint="eastAsia" w:ascii="仿宋_GB2312" w:eastAsia="仿宋_GB2312"/>
        </w:rPr>
      </w:pPr>
      <w:r>
        <w:rPr>
          <w:rFonts w:hint="eastAsia" w:ascii="仿宋_GB2312" w:eastAsia="仿宋_GB2312"/>
        </w:rPr>
        <w:t xml:space="preserve">≤ </w:t>
      </w:r>
      <w:r>
        <w:rPr>
          <w:rFonts w:eastAsia="仿宋_GB2312"/>
        </w:rPr>
        <w:t>80</w:t>
      </w:r>
      <w:r>
        <w:rPr>
          <w:rFonts w:hint="eastAsia" w:ascii="仿宋_GB2312" w:eastAsia="仿宋_GB2312"/>
        </w:rPr>
        <w:t xml:space="preserve">  (不结露)</w:t>
      </w:r>
      <w:bookmarkStart w:id="70" w:name="_Toc17643"/>
      <w:bookmarkStart w:id="71" w:name="_Toc497307450"/>
      <w:bookmarkStart w:id="72" w:name="_Toc22079"/>
      <w:bookmarkStart w:id="73" w:name="_Toc30752"/>
      <w:bookmarkStart w:id="74" w:name="_Toc22698"/>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pStyle w:val="3"/>
      </w:pPr>
      <w:bookmarkStart w:id="75" w:name="_Toc523"/>
      <w:r>
        <w:rPr>
          <w:rFonts w:hint="eastAsia"/>
        </w:rPr>
        <w:t>1.6设备配套清单</w:t>
      </w:r>
      <w:bookmarkEnd w:id="70"/>
      <w:bookmarkEnd w:id="71"/>
      <w:bookmarkEnd w:id="72"/>
      <w:bookmarkEnd w:id="73"/>
      <w:bookmarkEnd w:id="74"/>
      <w:bookmarkEnd w:id="75"/>
    </w:p>
    <w:p>
      <w:pPr>
        <w:pStyle w:val="4"/>
        <w:ind w:left="0" w:leftChars="0"/>
      </w:pPr>
      <w:r>
        <w:rPr>
          <w:rFonts w:hint="eastAsia"/>
        </w:rPr>
        <w:t>1.6.1设备的配置</w:t>
      </w:r>
    </w:p>
    <w:tbl>
      <w:tblPr>
        <w:tblStyle w:val="25"/>
        <w:tblW w:w="7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664"/>
        <w:gridCol w:w="780"/>
        <w:gridCol w:w="721"/>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序号</w:t>
            </w:r>
          </w:p>
        </w:tc>
        <w:tc>
          <w:tcPr>
            <w:tcW w:w="2664" w:type="dxa"/>
            <w:noWrap w:val="0"/>
            <w:vAlign w:val="center"/>
          </w:tcPr>
          <w:p>
            <w:pPr>
              <w:spacing w:line="240" w:lineRule="auto"/>
              <w:ind w:firstLine="0" w:firstLineChars="0"/>
              <w:jc w:val="center"/>
              <w:rPr>
                <w:rFonts w:hint="eastAsia"/>
              </w:rPr>
            </w:pPr>
            <w:r>
              <w:rPr>
                <w:rFonts w:hint="eastAsia"/>
              </w:rPr>
              <w:t>名    称</w:t>
            </w:r>
          </w:p>
        </w:tc>
        <w:tc>
          <w:tcPr>
            <w:tcW w:w="780" w:type="dxa"/>
            <w:noWrap w:val="0"/>
            <w:vAlign w:val="center"/>
          </w:tcPr>
          <w:p>
            <w:pPr>
              <w:spacing w:line="240" w:lineRule="auto"/>
              <w:ind w:firstLine="0" w:firstLineChars="0"/>
              <w:jc w:val="center"/>
              <w:rPr>
                <w:rFonts w:hint="eastAsia"/>
              </w:rPr>
            </w:pPr>
            <w:r>
              <w:rPr>
                <w:rFonts w:hint="eastAsia"/>
              </w:rPr>
              <w:t>单位</w:t>
            </w:r>
          </w:p>
        </w:tc>
        <w:tc>
          <w:tcPr>
            <w:tcW w:w="721" w:type="dxa"/>
            <w:noWrap w:val="0"/>
            <w:vAlign w:val="center"/>
          </w:tcPr>
          <w:p>
            <w:pPr>
              <w:spacing w:line="240" w:lineRule="auto"/>
              <w:ind w:firstLine="0" w:firstLineChars="0"/>
              <w:jc w:val="center"/>
              <w:rPr>
                <w:rFonts w:hint="eastAsia"/>
              </w:rPr>
            </w:pPr>
            <w:r>
              <w:rPr>
                <w:rFonts w:hint="eastAsia"/>
              </w:rPr>
              <w:t>数量</w:t>
            </w:r>
          </w:p>
        </w:tc>
        <w:tc>
          <w:tcPr>
            <w:tcW w:w="2179" w:type="dxa"/>
            <w:noWrap w:val="0"/>
            <w:vAlign w:val="center"/>
          </w:tcPr>
          <w:p>
            <w:pPr>
              <w:spacing w:line="240" w:lineRule="auto"/>
              <w:ind w:firstLine="0" w:firstLineChars="0"/>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716" w:type="dxa"/>
            <w:noWrap w:val="0"/>
            <w:vAlign w:val="center"/>
          </w:tcPr>
          <w:p>
            <w:pPr>
              <w:spacing w:line="240" w:lineRule="auto"/>
              <w:ind w:firstLine="0" w:firstLineChars="0"/>
              <w:jc w:val="center"/>
              <w:rPr>
                <w:rFonts w:hint="eastAsia"/>
              </w:rPr>
            </w:pPr>
            <w:r>
              <w:rPr>
                <w:rFonts w:hint="eastAsia"/>
              </w:rPr>
              <w:t>1</w:t>
            </w:r>
          </w:p>
        </w:tc>
        <w:tc>
          <w:tcPr>
            <w:tcW w:w="2664" w:type="dxa"/>
            <w:noWrap w:val="0"/>
            <w:vAlign w:val="center"/>
          </w:tcPr>
          <w:p>
            <w:pPr>
              <w:spacing w:line="240" w:lineRule="auto"/>
              <w:ind w:firstLine="0" w:firstLineChars="0"/>
              <w:rPr>
                <w:rFonts w:hint="eastAsia"/>
              </w:rPr>
            </w:pPr>
            <w:r>
              <w:rPr>
                <w:rFonts w:hint="eastAsia"/>
              </w:rPr>
              <w:t>测径仪（内置高频测头8套）</w:t>
            </w:r>
          </w:p>
        </w:tc>
        <w:tc>
          <w:tcPr>
            <w:tcW w:w="780" w:type="dxa"/>
            <w:noWrap w:val="0"/>
            <w:vAlign w:val="center"/>
          </w:tcPr>
          <w:p>
            <w:pPr>
              <w:spacing w:line="240" w:lineRule="auto"/>
              <w:ind w:firstLine="0" w:firstLineChars="0"/>
              <w:jc w:val="center"/>
              <w:rPr>
                <w:rFonts w:hint="eastAsia"/>
              </w:rPr>
            </w:pPr>
            <w:r>
              <w:rPr>
                <w:rFonts w:hint="eastAsia"/>
              </w:rPr>
              <w:t>台</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r>
              <w:rPr>
                <w:rFonts w:hint="eastAsia"/>
              </w:rPr>
              <w:t>LPXJ40.8D-J2D2R2-1L型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vMerge w:val="restart"/>
            <w:noWrap w:val="0"/>
            <w:vAlign w:val="center"/>
          </w:tcPr>
          <w:p>
            <w:pPr>
              <w:spacing w:line="240" w:lineRule="auto"/>
              <w:ind w:firstLine="0" w:firstLineChars="0"/>
              <w:jc w:val="center"/>
              <w:rPr>
                <w:rFonts w:hint="eastAsia"/>
              </w:rPr>
            </w:pPr>
            <w:r>
              <w:rPr>
                <w:rFonts w:hint="eastAsia"/>
              </w:rPr>
              <w:t>2</w:t>
            </w:r>
          </w:p>
        </w:tc>
        <w:tc>
          <w:tcPr>
            <w:tcW w:w="2664" w:type="dxa"/>
            <w:noWrap w:val="0"/>
            <w:vAlign w:val="center"/>
          </w:tcPr>
          <w:p>
            <w:pPr>
              <w:spacing w:line="240" w:lineRule="auto"/>
              <w:ind w:firstLine="0" w:firstLineChars="0"/>
              <w:rPr>
                <w:rFonts w:hint="eastAsia"/>
              </w:rPr>
            </w:pPr>
            <w:r>
              <w:rPr>
                <w:rFonts w:hint="eastAsia"/>
              </w:rPr>
              <w:t>主控机柜</w:t>
            </w:r>
          </w:p>
        </w:tc>
        <w:tc>
          <w:tcPr>
            <w:tcW w:w="780" w:type="dxa"/>
            <w:noWrap w:val="0"/>
            <w:vAlign w:val="center"/>
          </w:tcPr>
          <w:p>
            <w:pPr>
              <w:spacing w:line="240" w:lineRule="auto"/>
              <w:ind w:firstLine="0" w:firstLineChars="0"/>
              <w:jc w:val="center"/>
              <w:rPr>
                <w:rFonts w:hint="eastAsia"/>
              </w:rPr>
            </w:pPr>
            <w:r>
              <w:rPr>
                <w:rFonts w:hint="eastAsia"/>
              </w:rPr>
              <w:t>套</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vMerge w:val="continue"/>
            <w:noWrap w:val="0"/>
            <w:vAlign w:val="center"/>
          </w:tcPr>
          <w:p>
            <w:pPr>
              <w:spacing w:line="240" w:lineRule="auto"/>
              <w:ind w:firstLine="0" w:firstLineChars="0"/>
              <w:jc w:val="center"/>
              <w:rPr>
                <w:rFonts w:hint="eastAsia"/>
              </w:rPr>
            </w:pPr>
          </w:p>
        </w:tc>
        <w:tc>
          <w:tcPr>
            <w:tcW w:w="2664" w:type="dxa"/>
            <w:noWrap w:val="0"/>
            <w:vAlign w:val="center"/>
          </w:tcPr>
          <w:p>
            <w:pPr>
              <w:spacing w:line="240" w:lineRule="auto"/>
              <w:ind w:firstLine="0" w:firstLineChars="0"/>
              <w:rPr>
                <w:rFonts w:hint="eastAsia"/>
              </w:rPr>
            </w:pPr>
            <w:r>
              <w:rPr>
                <w:rFonts w:hint="eastAsia"/>
              </w:rPr>
              <w:t>工控机</w:t>
            </w:r>
          </w:p>
        </w:tc>
        <w:tc>
          <w:tcPr>
            <w:tcW w:w="780" w:type="dxa"/>
            <w:noWrap w:val="0"/>
            <w:vAlign w:val="center"/>
          </w:tcPr>
          <w:p>
            <w:pPr>
              <w:spacing w:line="240" w:lineRule="auto"/>
              <w:ind w:firstLine="0" w:firstLineChars="0"/>
              <w:jc w:val="center"/>
              <w:rPr>
                <w:rFonts w:hint="eastAsia"/>
              </w:rPr>
            </w:pPr>
            <w:r>
              <w:rPr>
                <w:rFonts w:hint="eastAsia"/>
              </w:rPr>
              <w:t>台</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r>
              <w:rPr>
                <w:rFonts w:hint="eastAsia"/>
              </w:rPr>
              <w:t>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vMerge w:val="continue"/>
            <w:noWrap w:val="0"/>
            <w:vAlign w:val="center"/>
          </w:tcPr>
          <w:p>
            <w:pPr>
              <w:spacing w:line="240" w:lineRule="auto"/>
              <w:ind w:firstLine="0" w:firstLineChars="0"/>
              <w:jc w:val="center"/>
              <w:rPr>
                <w:rFonts w:hint="eastAsia"/>
              </w:rPr>
            </w:pPr>
          </w:p>
        </w:tc>
        <w:tc>
          <w:tcPr>
            <w:tcW w:w="2664" w:type="dxa"/>
            <w:noWrap w:val="0"/>
            <w:vAlign w:val="center"/>
          </w:tcPr>
          <w:p>
            <w:pPr>
              <w:spacing w:line="240" w:lineRule="auto"/>
              <w:ind w:firstLine="0" w:firstLineChars="0"/>
              <w:rPr>
                <w:rFonts w:hint="eastAsia"/>
              </w:rPr>
            </w:pPr>
            <w:r>
              <w:rPr>
                <w:rFonts w:hint="eastAsia"/>
              </w:rPr>
              <w:t>22"液晶显示器</w:t>
            </w:r>
          </w:p>
        </w:tc>
        <w:tc>
          <w:tcPr>
            <w:tcW w:w="780" w:type="dxa"/>
            <w:noWrap w:val="0"/>
            <w:vAlign w:val="center"/>
          </w:tcPr>
          <w:p>
            <w:pPr>
              <w:spacing w:line="240" w:lineRule="auto"/>
              <w:ind w:firstLine="0" w:firstLineChars="0"/>
              <w:jc w:val="center"/>
              <w:rPr>
                <w:rFonts w:hint="eastAsia"/>
              </w:rPr>
            </w:pPr>
            <w:r>
              <w:rPr>
                <w:rFonts w:hint="eastAsia"/>
              </w:rPr>
              <w:t>台</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3</w:t>
            </w:r>
          </w:p>
        </w:tc>
        <w:tc>
          <w:tcPr>
            <w:tcW w:w="2664" w:type="dxa"/>
            <w:noWrap w:val="0"/>
            <w:vAlign w:val="center"/>
          </w:tcPr>
          <w:p>
            <w:pPr>
              <w:spacing w:line="240" w:lineRule="auto"/>
              <w:ind w:firstLine="0" w:firstLineChars="0"/>
              <w:rPr>
                <w:rFonts w:hint="eastAsia"/>
              </w:rPr>
            </w:pPr>
            <w:r>
              <w:rPr>
                <w:rFonts w:hint="eastAsia"/>
              </w:rPr>
              <w:t>交流稳压电源</w:t>
            </w:r>
          </w:p>
        </w:tc>
        <w:tc>
          <w:tcPr>
            <w:tcW w:w="780" w:type="dxa"/>
            <w:noWrap w:val="0"/>
            <w:vAlign w:val="center"/>
          </w:tcPr>
          <w:p>
            <w:pPr>
              <w:spacing w:line="240" w:lineRule="auto"/>
              <w:ind w:firstLine="0" w:firstLineChars="0"/>
              <w:jc w:val="center"/>
              <w:rPr>
                <w:rFonts w:hint="eastAsia"/>
              </w:rPr>
            </w:pPr>
            <w:r>
              <w:rPr>
                <w:rFonts w:hint="eastAsia"/>
              </w:rPr>
              <w:t>台</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r>
              <w:rPr>
                <w:rFonts w:hint="eastAsia"/>
              </w:rPr>
              <w:t>JJW-2kVA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4</w:t>
            </w:r>
          </w:p>
        </w:tc>
        <w:tc>
          <w:tcPr>
            <w:tcW w:w="2664" w:type="dxa"/>
            <w:noWrap w:val="0"/>
            <w:vAlign w:val="center"/>
          </w:tcPr>
          <w:p>
            <w:pPr>
              <w:spacing w:line="240" w:lineRule="auto"/>
              <w:ind w:firstLine="0" w:firstLineChars="0"/>
              <w:rPr>
                <w:rFonts w:hint="eastAsia"/>
              </w:rPr>
            </w:pPr>
            <w:r>
              <w:rPr>
                <w:rFonts w:hint="eastAsia"/>
              </w:rPr>
              <w:t>LED显示屏</w:t>
            </w:r>
          </w:p>
        </w:tc>
        <w:tc>
          <w:tcPr>
            <w:tcW w:w="780" w:type="dxa"/>
            <w:noWrap w:val="0"/>
            <w:vAlign w:val="center"/>
          </w:tcPr>
          <w:p>
            <w:pPr>
              <w:spacing w:line="240" w:lineRule="auto"/>
              <w:ind w:firstLine="0" w:firstLineChars="0"/>
              <w:jc w:val="center"/>
              <w:rPr>
                <w:rFonts w:hint="eastAsia"/>
              </w:rPr>
            </w:pPr>
            <w:r>
              <w:rPr>
                <w:rFonts w:hint="eastAsia"/>
              </w:rPr>
              <w:t>台</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5</w:t>
            </w:r>
          </w:p>
        </w:tc>
        <w:tc>
          <w:tcPr>
            <w:tcW w:w="2664" w:type="dxa"/>
            <w:noWrap w:val="0"/>
            <w:vAlign w:val="center"/>
          </w:tcPr>
          <w:p>
            <w:pPr>
              <w:spacing w:line="240" w:lineRule="auto"/>
              <w:ind w:firstLine="0" w:firstLineChars="0"/>
              <w:rPr>
                <w:rFonts w:hint="eastAsia"/>
              </w:rPr>
            </w:pPr>
            <w:r>
              <w:rPr>
                <w:rFonts w:hint="eastAsia"/>
              </w:rPr>
              <w:t>配电箱</w:t>
            </w:r>
          </w:p>
        </w:tc>
        <w:tc>
          <w:tcPr>
            <w:tcW w:w="780" w:type="dxa"/>
            <w:noWrap w:val="0"/>
            <w:vAlign w:val="center"/>
          </w:tcPr>
          <w:p>
            <w:pPr>
              <w:spacing w:line="240" w:lineRule="auto"/>
              <w:ind w:firstLine="0" w:firstLineChars="0"/>
              <w:jc w:val="center"/>
              <w:rPr>
                <w:rFonts w:hint="eastAsia"/>
              </w:rPr>
            </w:pPr>
            <w:r>
              <w:rPr>
                <w:rFonts w:hint="eastAsia"/>
              </w:rPr>
              <w:t>台</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6</w:t>
            </w:r>
          </w:p>
        </w:tc>
        <w:tc>
          <w:tcPr>
            <w:tcW w:w="2664" w:type="dxa"/>
            <w:noWrap w:val="0"/>
            <w:vAlign w:val="center"/>
          </w:tcPr>
          <w:p>
            <w:pPr>
              <w:spacing w:line="240" w:lineRule="auto"/>
              <w:ind w:firstLine="0" w:firstLineChars="0"/>
              <w:rPr>
                <w:rFonts w:hint="eastAsia"/>
              </w:rPr>
            </w:pPr>
            <w:r>
              <w:rPr>
                <w:rFonts w:hint="eastAsia"/>
              </w:rPr>
              <w:t>光缆通讯设备</w:t>
            </w:r>
          </w:p>
        </w:tc>
        <w:tc>
          <w:tcPr>
            <w:tcW w:w="780" w:type="dxa"/>
            <w:noWrap w:val="0"/>
            <w:vAlign w:val="center"/>
          </w:tcPr>
          <w:p>
            <w:pPr>
              <w:spacing w:line="240" w:lineRule="auto"/>
              <w:ind w:firstLine="0" w:firstLineChars="0"/>
              <w:jc w:val="center"/>
              <w:rPr>
                <w:rFonts w:hint="eastAsia"/>
              </w:rPr>
            </w:pPr>
            <w:r>
              <w:rPr>
                <w:rFonts w:hint="eastAsia"/>
              </w:rPr>
              <w:t>套</w:t>
            </w:r>
          </w:p>
        </w:tc>
        <w:tc>
          <w:tcPr>
            <w:tcW w:w="721" w:type="dxa"/>
            <w:noWrap w:val="0"/>
            <w:vAlign w:val="center"/>
          </w:tcPr>
          <w:p>
            <w:pPr>
              <w:spacing w:line="240" w:lineRule="auto"/>
              <w:ind w:firstLine="0" w:firstLineChars="0"/>
              <w:jc w:val="center"/>
              <w:rPr>
                <w:rFonts w:hint="eastAsia"/>
              </w:rPr>
            </w:pPr>
            <w:r>
              <w:rPr>
                <w:rFonts w:hint="eastAsia"/>
              </w:rPr>
              <w:t>2</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7</w:t>
            </w:r>
          </w:p>
        </w:tc>
        <w:tc>
          <w:tcPr>
            <w:tcW w:w="2664" w:type="dxa"/>
            <w:noWrap w:val="0"/>
            <w:vAlign w:val="center"/>
          </w:tcPr>
          <w:p>
            <w:pPr>
              <w:spacing w:line="240" w:lineRule="auto"/>
              <w:ind w:firstLine="0" w:firstLineChars="0"/>
              <w:rPr>
                <w:rFonts w:hint="eastAsia"/>
              </w:rPr>
            </w:pPr>
            <w:r>
              <w:rPr>
                <w:rFonts w:hint="eastAsia"/>
              </w:rPr>
              <w:t>声光报警装置</w:t>
            </w:r>
          </w:p>
        </w:tc>
        <w:tc>
          <w:tcPr>
            <w:tcW w:w="780" w:type="dxa"/>
            <w:noWrap w:val="0"/>
            <w:vAlign w:val="center"/>
          </w:tcPr>
          <w:p>
            <w:pPr>
              <w:spacing w:line="240" w:lineRule="auto"/>
              <w:ind w:firstLine="0" w:firstLineChars="0"/>
              <w:jc w:val="center"/>
              <w:rPr>
                <w:rFonts w:hint="eastAsia"/>
              </w:rPr>
            </w:pPr>
            <w:r>
              <w:rPr>
                <w:rFonts w:hint="eastAsia"/>
              </w:rPr>
              <w:t>套</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8</w:t>
            </w:r>
          </w:p>
        </w:tc>
        <w:tc>
          <w:tcPr>
            <w:tcW w:w="2664" w:type="dxa"/>
            <w:noWrap w:val="0"/>
            <w:vAlign w:val="center"/>
          </w:tcPr>
          <w:p>
            <w:pPr>
              <w:spacing w:line="240" w:lineRule="auto"/>
              <w:ind w:firstLine="0" w:firstLineChars="0"/>
              <w:rPr>
                <w:rFonts w:hint="eastAsia"/>
              </w:rPr>
            </w:pPr>
            <w:r>
              <w:rPr>
                <w:rFonts w:hint="eastAsia"/>
              </w:rPr>
              <w:t>高压离心通风机</w:t>
            </w:r>
          </w:p>
        </w:tc>
        <w:tc>
          <w:tcPr>
            <w:tcW w:w="780" w:type="dxa"/>
            <w:noWrap w:val="0"/>
            <w:vAlign w:val="center"/>
          </w:tcPr>
          <w:p>
            <w:pPr>
              <w:spacing w:line="240" w:lineRule="auto"/>
              <w:ind w:firstLine="0" w:firstLineChars="0"/>
              <w:jc w:val="center"/>
              <w:rPr>
                <w:rFonts w:hint="eastAsia"/>
              </w:rPr>
            </w:pPr>
            <w:r>
              <w:rPr>
                <w:rFonts w:hint="eastAsia"/>
              </w:rPr>
              <w:t>台</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r>
              <w:rPr>
                <w:rFonts w:hint="eastAsia"/>
              </w:rPr>
              <w:t>9-19-4.5A 4.0kW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9</w:t>
            </w:r>
          </w:p>
        </w:tc>
        <w:tc>
          <w:tcPr>
            <w:tcW w:w="2664" w:type="dxa"/>
            <w:noWrap w:val="0"/>
            <w:vAlign w:val="center"/>
          </w:tcPr>
          <w:p>
            <w:pPr>
              <w:spacing w:line="240" w:lineRule="auto"/>
              <w:ind w:firstLine="0" w:firstLineChars="0"/>
              <w:rPr>
                <w:rFonts w:hint="eastAsia"/>
              </w:rPr>
            </w:pPr>
            <w:r>
              <w:rPr>
                <w:rFonts w:hint="eastAsia"/>
              </w:rPr>
              <w:t>空气过滤装置</w:t>
            </w:r>
          </w:p>
        </w:tc>
        <w:tc>
          <w:tcPr>
            <w:tcW w:w="780" w:type="dxa"/>
            <w:noWrap w:val="0"/>
            <w:vAlign w:val="center"/>
          </w:tcPr>
          <w:p>
            <w:pPr>
              <w:spacing w:line="240" w:lineRule="auto"/>
              <w:ind w:firstLine="0" w:firstLineChars="0"/>
              <w:jc w:val="center"/>
              <w:rPr>
                <w:rFonts w:hint="eastAsia"/>
              </w:rPr>
            </w:pPr>
            <w:r>
              <w:rPr>
                <w:rFonts w:hint="eastAsia"/>
              </w:rPr>
              <w:t>套</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10</w:t>
            </w:r>
          </w:p>
        </w:tc>
        <w:tc>
          <w:tcPr>
            <w:tcW w:w="2664" w:type="dxa"/>
            <w:noWrap w:val="0"/>
            <w:vAlign w:val="center"/>
          </w:tcPr>
          <w:p>
            <w:pPr>
              <w:spacing w:line="240" w:lineRule="auto"/>
              <w:ind w:firstLine="0" w:firstLineChars="0"/>
              <w:rPr>
                <w:rFonts w:hint="eastAsia"/>
              </w:rPr>
            </w:pPr>
            <w:r>
              <w:rPr>
                <w:rFonts w:hint="eastAsia"/>
              </w:rPr>
              <w:t>进风管及接头</w:t>
            </w:r>
          </w:p>
        </w:tc>
        <w:tc>
          <w:tcPr>
            <w:tcW w:w="780" w:type="dxa"/>
            <w:noWrap w:val="0"/>
            <w:vAlign w:val="center"/>
          </w:tcPr>
          <w:p>
            <w:pPr>
              <w:spacing w:line="240" w:lineRule="auto"/>
              <w:ind w:firstLine="0" w:firstLineChars="0"/>
              <w:jc w:val="center"/>
              <w:rPr>
                <w:rFonts w:hint="eastAsia"/>
              </w:rPr>
            </w:pPr>
            <w:r>
              <w:rPr>
                <w:rFonts w:hint="eastAsia"/>
              </w:rPr>
              <w:t>套</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11</w:t>
            </w:r>
          </w:p>
        </w:tc>
        <w:tc>
          <w:tcPr>
            <w:tcW w:w="2664" w:type="dxa"/>
            <w:noWrap w:val="0"/>
            <w:vAlign w:val="center"/>
          </w:tcPr>
          <w:p>
            <w:pPr>
              <w:spacing w:line="240" w:lineRule="auto"/>
              <w:ind w:firstLine="0" w:firstLineChars="0"/>
              <w:rPr>
                <w:rFonts w:hint="eastAsia"/>
              </w:rPr>
            </w:pPr>
            <w:r>
              <w:rPr>
                <w:rFonts w:hint="eastAsia"/>
              </w:rPr>
              <w:t>拖链及拖链支架</w:t>
            </w:r>
          </w:p>
        </w:tc>
        <w:tc>
          <w:tcPr>
            <w:tcW w:w="780" w:type="dxa"/>
            <w:noWrap w:val="0"/>
            <w:vAlign w:val="center"/>
          </w:tcPr>
          <w:p>
            <w:pPr>
              <w:spacing w:line="240" w:lineRule="auto"/>
              <w:ind w:firstLine="0" w:firstLineChars="0"/>
              <w:jc w:val="center"/>
              <w:rPr>
                <w:rFonts w:hint="eastAsia"/>
              </w:rPr>
            </w:pPr>
            <w:r>
              <w:rPr>
                <w:rFonts w:hint="eastAsia"/>
              </w:rPr>
              <w:t>套</w:t>
            </w:r>
          </w:p>
        </w:tc>
        <w:tc>
          <w:tcPr>
            <w:tcW w:w="721" w:type="dxa"/>
            <w:noWrap w:val="0"/>
            <w:vAlign w:val="center"/>
          </w:tcPr>
          <w:p>
            <w:pPr>
              <w:spacing w:line="240" w:lineRule="auto"/>
              <w:ind w:firstLine="0" w:firstLineChars="0"/>
              <w:jc w:val="center"/>
              <w:rPr>
                <w:rFonts w:hint="eastAsia"/>
              </w:rPr>
            </w:pPr>
            <w:r>
              <w:rPr>
                <w:rFonts w:hint="eastAsia"/>
              </w:rPr>
              <w:t>1</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6" w:type="dxa"/>
            <w:noWrap w:val="0"/>
            <w:vAlign w:val="center"/>
          </w:tcPr>
          <w:p>
            <w:pPr>
              <w:spacing w:line="240" w:lineRule="auto"/>
              <w:ind w:firstLine="0" w:firstLineChars="0"/>
              <w:jc w:val="center"/>
              <w:rPr>
                <w:rFonts w:hint="eastAsia"/>
              </w:rPr>
            </w:pPr>
            <w:r>
              <w:rPr>
                <w:rFonts w:hint="eastAsia"/>
              </w:rPr>
              <w:t>12</w:t>
            </w:r>
          </w:p>
        </w:tc>
        <w:tc>
          <w:tcPr>
            <w:tcW w:w="2664" w:type="dxa"/>
            <w:noWrap w:val="0"/>
            <w:vAlign w:val="center"/>
          </w:tcPr>
          <w:p>
            <w:pPr>
              <w:spacing w:line="240" w:lineRule="auto"/>
              <w:ind w:firstLine="0" w:firstLineChars="0"/>
              <w:rPr>
                <w:rFonts w:hint="eastAsia"/>
              </w:rPr>
            </w:pPr>
            <w:r>
              <w:rPr>
                <w:rFonts w:hint="eastAsia"/>
              </w:rPr>
              <w:t>定位装置</w:t>
            </w:r>
          </w:p>
        </w:tc>
        <w:tc>
          <w:tcPr>
            <w:tcW w:w="780" w:type="dxa"/>
            <w:noWrap w:val="0"/>
            <w:vAlign w:val="center"/>
          </w:tcPr>
          <w:p>
            <w:pPr>
              <w:spacing w:line="240" w:lineRule="auto"/>
              <w:ind w:firstLine="0" w:firstLineChars="0"/>
              <w:jc w:val="center"/>
              <w:rPr>
                <w:rFonts w:hint="eastAsia"/>
              </w:rPr>
            </w:pPr>
            <w:r>
              <w:rPr>
                <w:rFonts w:hint="eastAsia"/>
              </w:rPr>
              <w:t>套</w:t>
            </w:r>
          </w:p>
        </w:tc>
        <w:tc>
          <w:tcPr>
            <w:tcW w:w="721" w:type="dxa"/>
            <w:noWrap w:val="0"/>
            <w:vAlign w:val="center"/>
          </w:tcPr>
          <w:p>
            <w:pPr>
              <w:spacing w:line="240" w:lineRule="auto"/>
              <w:ind w:firstLine="0" w:firstLineChars="0"/>
              <w:jc w:val="center"/>
              <w:rPr>
                <w:rFonts w:hint="eastAsia"/>
              </w:rPr>
            </w:pPr>
            <w:r>
              <w:rPr>
                <w:rFonts w:hint="eastAsia"/>
              </w:rPr>
              <w:t>2</w:t>
            </w:r>
          </w:p>
        </w:tc>
        <w:tc>
          <w:tcPr>
            <w:tcW w:w="2179"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716" w:type="dxa"/>
            <w:noWrap w:val="0"/>
            <w:vAlign w:val="center"/>
          </w:tcPr>
          <w:p>
            <w:pPr>
              <w:spacing w:line="240" w:lineRule="auto"/>
              <w:ind w:firstLine="0" w:firstLineChars="0"/>
              <w:jc w:val="center"/>
              <w:rPr>
                <w:rFonts w:hint="eastAsia"/>
              </w:rPr>
            </w:pPr>
            <w:r>
              <w:rPr>
                <w:rFonts w:hint="eastAsia"/>
              </w:rPr>
              <w:t>13</w:t>
            </w:r>
          </w:p>
        </w:tc>
        <w:tc>
          <w:tcPr>
            <w:tcW w:w="2664" w:type="dxa"/>
            <w:noWrap w:val="0"/>
            <w:vAlign w:val="center"/>
          </w:tcPr>
          <w:p>
            <w:pPr>
              <w:spacing w:line="240" w:lineRule="auto"/>
              <w:ind w:firstLine="0" w:firstLineChars="0"/>
              <w:rPr>
                <w:rFonts w:hint="eastAsia"/>
              </w:rPr>
            </w:pPr>
            <w:r>
              <w:rPr>
                <w:rFonts w:hint="eastAsia"/>
              </w:rPr>
              <w:t>吹风导套</w:t>
            </w:r>
          </w:p>
        </w:tc>
        <w:tc>
          <w:tcPr>
            <w:tcW w:w="780" w:type="dxa"/>
            <w:noWrap w:val="0"/>
            <w:vAlign w:val="center"/>
          </w:tcPr>
          <w:p>
            <w:pPr>
              <w:spacing w:line="240" w:lineRule="auto"/>
              <w:ind w:firstLine="0" w:firstLineChars="0"/>
              <w:jc w:val="center"/>
              <w:rPr>
                <w:rFonts w:hint="eastAsia"/>
              </w:rPr>
            </w:pPr>
            <w:r>
              <w:rPr>
                <w:rFonts w:hint="eastAsia"/>
              </w:rPr>
              <w:t>套</w:t>
            </w:r>
          </w:p>
        </w:tc>
        <w:tc>
          <w:tcPr>
            <w:tcW w:w="721" w:type="dxa"/>
            <w:noWrap w:val="0"/>
            <w:vAlign w:val="center"/>
          </w:tcPr>
          <w:p>
            <w:pPr>
              <w:spacing w:line="240" w:lineRule="auto"/>
              <w:ind w:firstLine="0" w:firstLineChars="0"/>
              <w:jc w:val="center"/>
              <w:rPr>
                <w:rFonts w:hint="eastAsia"/>
              </w:rPr>
            </w:pPr>
            <w:r>
              <w:rPr>
                <w:rFonts w:hint="eastAsia"/>
              </w:rPr>
              <w:t>2</w:t>
            </w:r>
          </w:p>
        </w:tc>
        <w:tc>
          <w:tcPr>
            <w:tcW w:w="2179" w:type="dxa"/>
            <w:noWrap w:val="0"/>
            <w:vAlign w:val="center"/>
          </w:tcPr>
          <w:p>
            <w:pPr>
              <w:spacing w:line="240" w:lineRule="auto"/>
              <w:ind w:firstLine="0" w:firstLineChars="0"/>
              <w:rPr>
                <w:rFonts w:hint="eastAsia"/>
              </w:rPr>
            </w:pPr>
          </w:p>
        </w:tc>
      </w:tr>
    </w:tbl>
    <w:p>
      <w:pPr>
        <w:tabs>
          <w:tab w:val="left" w:pos="310"/>
        </w:tabs>
        <w:ind w:firstLine="480"/>
        <w:jc w:val="left"/>
      </w:pPr>
    </w:p>
    <w:p>
      <w:pPr>
        <w:pStyle w:val="4"/>
        <w:ind w:left="0" w:leftChars="0" w:firstLine="0" w:firstLineChars="0"/>
        <w:rPr>
          <w:rFonts w:ascii="仿宋_GB2312"/>
        </w:rPr>
      </w:pPr>
      <w:bookmarkStart w:id="76" w:name="_Toc497307452"/>
      <w:bookmarkStart w:id="77" w:name="_Toc177141002"/>
    </w:p>
    <w:p>
      <w:pPr>
        <w:pStyle w:val="4"/>
        <w:rPr>
          <w:rFonts w:ascii="仿宋_GB2312"/>
        </w:rPr>
      </w:pPr>
      <w:r>
        <w:rPr>
          <w:rFonts w:hint="eastAsia" w:ascii="仿宋_GB2312"/>
        </w:rPr>
        <w:t>1.6.2专用工具清单</w:t>
      </w:r>
      <w:bookmarkEnd w:id="76"/>
      <w:bookmarkEnd w:id="77"/>
    </w:p>
    <w:tbl>
      <w:tblPr>
        <w:tblStyle w:val="25"/>
        <w:tblW w:w="7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559"/>
        <w:gridCol w:w="960"/>
        <w:gridCol w:w="975"/>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56" w:type="dxa"/>
            <w:noWrap w:val="0"/>
            <w:vAlign w:val="center"/>
          </w:tcPr>
          <w:p>
            <w:pPr>
              <w:spacing w:line="240" w:lineRule="auto"/>
              <w:ind w:firstLine="0" w:firstLineChars="0"/>
              <w:jc w:val="center"/>
              <w:rPr>
                <w:rFonts w:hint="eastAsia"/>
              </w:rPr>
            </w:pPr>
            <w:bookmarkStart w:id="78" w:name="_Toc497307453"/>
            <w:bookmarkStart w:id="79" w:name="_Toc177141003"/>
            <w:r>
              <w:rPr>
                <w:rFonts w:hint="eastAsia"/>
              </w:rPr>
              <w:t>序号</w:t>
            </w:r>
          </w:p>
        </w:tc>
        <w:tc>
          <w:tcPr>
            <w:tcW w:w="1559" w:type="dxa"/>
            <w:noWrap w:val="0"/>
            <w:vAlign w:val="center"/>
          </w:tcPr>
          <w:p>
            <w:pPr>
              <w:spacing w:line="240" w:lineRule="auto"/>
              <w:ind w:firstLine="0" w:firstLineChars="0"/>
              <w:jc w:val="center"/>
              <w:rPr>
                <w:rFonts w:hint="eastAsia"/>
              </w:rPr>
            </w:pPr>
            <w:r>
              <w:rPr>
                <w:rFonts w:hint="eastAsia"/>
              </w:rPr>
              <w:t>名    称</w:t>
            </w:r>
          </w:p>
        </w:tc>
        <w:tc>
          <w:tcPr>
            <w:tcW w:w="960" w:type="dxa"/>
            <w:noWrap w:val="0"/>
            <w:vAlign w:val="center"/>
          </w:tcPr>
          <w:p>
            <w:pPr>
              <w:spacing w:line="240" w:lineRule="auto"/>
              <w:ind w:firstLine="0" w:firstLineChars="0"/>
              <w:jc w:val="center"/>
              <w:rPr>
                <w:rFonts w:hint="eastAsia"/>
              </w:rPr>
            </w:pPr>
            <w:r>
              <w:rPr>
                <w:rFonts w:hint="eastAsia"/>
              </w:rPr>
              <w:t>单位</w:t>
            </w:r>
          </w:p>
        </w:tc>
        <w:tc>
          <w:tcPr>
            <w:tcW w:w="975" w:type="dxa"/>
            <w:noWrap w:val="0"/>
            <w:vAlign w:val="center"/>
          </w:tcPr>
          <w:p>
            <w:pPr>
              <w:spacing w:line="240" w:lineRule="auto"/>
              <w:ind w:firstLine="0" w:firstLineChars="0"/>
              <w:jc w:val="center"/>
              <w:rPr>
                <w:rFonts w:hint="eastAsia"/>
              </w:rPr>
            </w:pPr>
            <w:r>
              <w:rPr>
                <w:rFonts w:hint="eastAsia"/>
              </w:rPr>
              <w:t>数量</w:t>
            </w:r>
          </w:p>
        </w:tc>
        <w:tc>
          <w:tcPr>
            <w:tcW w:w="2820" w:type="dxa"/>
            <w:noWrap w:val="0"/>
            <w:vAlign w:val="center"/>
          </w:tcPr>
          <w:p>
            <w:pPr>
              <w:spacing w:line="240" w:lineRule="auto"/>
              <w:ind w:firstLine="0" w:firstLineChars="0"/>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756" w:type="dxa"/>
            <w:noWrap w:val="0"/>
            <w:vAlign w:val="center"/>
          </w:tcPr>
          <w:p>
            <w:pPr>
              <w:spacing w:line="240" w:lineRule="auto"/>
              <w:ind w:firstLine="0" w:firstLineChars="0"/>
              <w:jc w:val="center"/>
              <w:rPr>
                <w:rFonts w:hint="eastAsia"/>
              </w:rPr>
            </w:pPr>
            <w:r>
              <w:rPr>
                <w:rFonts w:hint="eastAsia"/>
              </w:rPr>
              <w:t>1</w:t>
            </w:r>
          </w:p>
        </w:tc>
        <w:tc>
          <w:tcPr>
            <w:tcW w:w="1559" w:type="dxa"/>
            <w:noWrap w:val="0"/>
            <w:vAlign w:val="center"/>
          </w:tcPr>
          <w:p>
            <w:pPr>
              <w:spacing w:line="240" w:lineRule="auto"/>
              <w:ind w:firstLine="0" w:firstLineChars="0"/>
              <w:rPr>
                <w:rFonts w:hint="eastAsia"/>
              </w:rPr>
            </w:pPr>
            <w:r>
              <w:rPr>
                <w:rFonts w:hint="eastAsia"/>
              </w:rPr>
              <w:t>标准量块</w:t>
            </w:r>
          </w:p>
        </w:tc>
        <w:tc>
          <w:tcPr>
            <w:tcW w:w="960" w:type="dxa"/>
            <w:noWrap w:val="0"/>
            <w:vAlign w:val="center"/>
          </w:tcPr>
          <w:p>
            <w:pPr>
              <w:spacing w:line="240" w:lineRule="auto"/>
              <w:ind w:firstLine="0" w:firstLineChars="0"/>
              <w:jc w:val="center"/>
              <w:rPr>
                <w:rFonts w:hint="eastAsia"/>
              </w:rPr>
            </w:pPr>
            <w:r>
              <w:rPr>
                <w:rFonts w:hint="eastAsia"/>
              </w:rPr>
              <w:t>套</w:t>
            </w:r>
          </w:p>
        </w:tc>
        <w:tc>
          <w:tcPr>
            <w:tcW w:w="975" w:type="dxa"/>
            <w:noWrap w:val="0"/>
            <w:vAlign w:val="center"/>
          </w:tcPr>
          <w:p>
            <w:pPr>
              <w:spacing w:line="240" w:lineRule="auto"/>
              <w:ind w:firstLine="0" w:firstLineChars="0"/>
              <w:jc w:val="center"/>
              <w:rPr>
                <w:rFonts w:hint="eastAsia"/>
              </w:rPr>
            </w:pPr>
            <w:r>
              <w:rPr>
                <w:rFonts w:hint="eastAsia"/>
              </w:rPr>
              <w:t>2</w:t>
            </w:r>
          </w:p>
        </w:tc>
        <w:tc>
          <w:tcPr>
            <w:tcW w:w="2820" w:type="dxa"/>
            <w:noWrap w:val="0"/>
            <w:vAlign w:val="center"/>
          </w:tcPr>
          <w:p>
            <w:pPr>
              <w:spacing w:line="240" w:lineRule="auto"/>
              <w:ind w:firstLine="0" w:firstLineChars="0"/>
              <w:rPr>
                <w:rFonts w:hint="eastAsia"/>
              </w:rPr>
            </w:pPr>
            <w:r>
              <w:rPr>
                <w:rFonts w:hint="eastAsia"/>
              </w:rPr>
              <w:t>φ5.5、φ8.0、φ12、φ18、φ25、φ30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756" w:type="dxa"/>
            <w:noWrap w:val="0"/>
            <w:vAlign w:val="center"/>
          </w:tcPr>
          <w:p>
            <w:pPr>
              <w:spacing w:line="240" w:lineRule="auto"/>
              <w:ind w:firstLine="0" w:firstLineChars="0"/>
              <w:jc w:val="center"/>
              <w:rPr>
                <w:rFonts w:hint="eastAsia"/>
              </w:rPr>
            </w:pPr>
            <w:r>
              <w:rPr>
                <w:rFonts w:hint="eastAsia"/>
              </w:rPr>
              <w:t>2</w:t>
            </w:r>
          </w:p>
        </w:tc>
        <w:tc>
          <w:tcPr>
            <w:tcW w:w="1559" w:type="dxa"/>
            <w:noWrap w:val="0"/>
            <w:vAlign w:val="center"/>
          </w:tcPr>
          <w:p>
            <w:pPr>
              <w:spacing w:line="240" w:lineRule="auto"/>
              <w:ind w:firstLine="0" w:firstLineChars="0"/>
              <w:rPr>
                <w:rFonts w:hint="eastAsia"/>
              </w:rPr>
            </w:pPr>
            <w:r>
              <w:rPr>
                <w:rFonts w:hint="eastAsia"/>
              </w:rPr>
              <w:t>校准支杆</w:t>
            </w:r>
          </w:p>
        </w:tc>
        <w:tc>
          <w:tcPr>
            <w:tcW w:w="960" w:type="dxa"/>
            <w:noWrap w:val="0"/>
            <w:vAlign w:val="center"/>
          </w:tcPr>
          <w:p>
            <w:pPr>
              <w:spacing w:line="240" w:lineRule="auto"/>
              <w:ind w:firstLine="0" w:firstLineChars="0"/>
              <w:jc w:val="center"/>
              <w:rPr>
                <w:rFonts w:hint="eastAsia"/>
              </w:rPr>
            </w:pPr>
            <w:r>
              <w:rPr>
                <w:rFonts w:hint="eastAsia"/>
              </w:rPr>
              <w:t>件</w:t>
            </w:r>
          </w:p>
        </w:tc>
        <w:tc>
          <w:tcPr>
            <w:tcW w:w="975" w:type="dxa"/>
            <w:noWrap w:val="0"/>
            <w:vAlign w:val="center"/>
          </w:tcPr>
          <w:p>
            <w:pPr>
              <w:spacing w:line="240" w:lineRule="auto"/>
              <w:ind w:firstLine="0" w:firstLineChars="0"/>
              <w:jc w:val="center"/>
              <w:rPr>
                <w:rFonts w:hint="eastAsia"/>
              </w:rPr>
            </w:pPr>
            <w:r>
              <w:rPr>
                <w:rFonts w:hint="eastAsia"/>
              </w:rPr>
              <w:t>1</w:t>
            </w:r>
          </w:p>
        </w:tc>
        <w:tc>
          <w:tcPr>
            <w:tcW w:w="2820" w:type="dxa"/>
            <w:noWrap w:val="0"/>
            <w:vAlign w:val="center"/>
          </w:tcPr>
          <w:p>
            <w:pPr>
              <w:spacing w:line="240" w:lineRule="auto"/>
              <w:ind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756" w:type="dxa"/>
            <w:noWrap w:val="0"/>
            <w:vAlign w:val="center"/>
          </w:tcPr>
          <w:p>
            <w:pPr>
              <w:spacing w:line="240" w:lineRule="auto"/>
              <w:ind w:firstLine="0" w:firstLineChars="0"/>
              <w:jc w:val="center"/>
              <w:rPr>
                <w:rFonts w:hint="eastAsia"/>
              </w:rPr>
            </w:pPr>
            <w:r>
              <w:rPr>
                <w:rFonts w:hint="eastAsia"/>
              </w:rPr>
              <w:t>3</w:t>
            </w:r>
          </w:p>
        </w:tc>
        <w:tc>
          <w:tcPr>
            <w:tcW w:w="1559" w:type="dxa"/>
            <w:noWrap w:val="0"/>
            <w:vAlign w:val="center"/>
          </w:tcPr>
          <w:p>
            <w:pPr>
              <w:spacing w:line="240" w:lineRule="auto"/>
              <w:ind w:firstLine="0" w:firstLineChars="0"/>
              <w:rPr>
                <w:rFonts w:hint="eastAsia"/>
              </w:rPr>
            </w:pPr>
            <w:r>
              <w:rPr>
                <w:rFonts w:hint="eastAsia"/>
              </w:rPr>
              <w:t>镜头擦拭布</w:t>
            </w:r>
          </w:p>
        </w:tc>
        <w:tc>
          <w:tcPr>
            <w:tcW w:w="960" w:type="dxa"/>
            <w:noWrap w:val="0"/>
            <w:vAlign w:val="center"/>
          </w:tcPr>
          <w:p>
            <w:pPr>
              <w:spacing w:line="240" w:lineRule="auto"/>
              <w:ind w:firstLine="0" w:firstLineChars="0"/>
              <w:jc w:val="center"/>
              <w:rPr>
                <w:rFonts w:hint="eastAsia"/>
              </w:rPr>
            </w:pPr>
            <w:r>
              <w:rPr>
                <w:rFonts w:hint="eastAsia"/>
              </w:rPr>
              <w:t>片</w:t>
            </w:r>
          </w:p>
        </w:tc>
        <w:tc>
          <w:tcPr>
            <w:tcW w:w="975" w:type="dxa"/>
            <w:noWrap w:val="0"/>
            <w:vAlign w:val="center"/>
          </w:tcPr>
          <w:p>
            <w:pPr>
              <w:spacing w:line="240" w:lineRule="auto"/>
              <w:ind w:firstLine="0" w:firstLineChars="0"/>
              <w:jc w:val="center"/>
              <w:rPr>
                <w:rFonts w:hint="eastAsia"/>
              </w:rPr>
            </w:pPr>
            <w:r>
              <w:rPr>
                <w:rFonts w:hint="eastAsia"/>
              </w:rPr>
              <w:t>100</w:t>
            </w:r>
          </w:p>
        </w:tc>
        <w:tc>
          <w:tcPr>
            <w:tcW w:w="2820" w:type="dxa"/>
            <w:noWrap w:val="0"/>
            <w:vAlign w:val="center"/>
          </w:tcPr>
          <w:p>
            <w:pPr>
              <w:spacing w:line="240" w:lineRule="auto"/>
              <w:ind w:firstLine="0" w:firstLineChars="0"/>
              <w:rPr>
                <w:rFonts w:hint="eastAsia"/>
              </w:rPr>
            </w:pPr>
          </w:p>
        </w:tc>
      </w:tr>
    </w:tbl>
    <w:p>
      <w:pPr>
        <w:pStyle w:val="4"/>
        <w:ind w:left="0" w:leftChars="0"/>
        <w:rPr>
          <w:rFonts w:hint="eastAsia" w:ascii="仿宋_GB2312"/>
        </w:rPr>
      </w:pPr>
    </w:p>
    <w:p>
      <w:pPr>
        <w:pStyle w:val="4"/>
        <w:ind w:left="0" w:leftChars="0"/>
        <w:rPr>
          <w:rFonts w:ascii="仿宋_GB2312"/>
        </w:rPr>
      </w:pPr>
      <w:r>
        <w:rPr>
          <w:rFonts w:hint="eastAsia" w:ascii="仿宋_GB2312"/>
        </w:rPr>
        <w:t>1.6.3易损件清单</w:t>
      </w:r>
      <w:bookmarkEnd w:id="78"/>
    </w:p>
    <w:tbl>
      <w:tblPr>
        <w:tblStyle w:val="25"/>
        <w:tblW w:w="740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13"/>
        <w:gridCol w:w="2370"/>
        <w:gridCol w:w="1080"/>
        <w:gridCol w:w="916"/>
        <w:gridCol w:w="22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77" w:hRule="exact"/>
          <w:jc w:val="center"/>
        </w:trPr>
        <w:tc>
          <w:tcPr>
            <w:tcW w:w="813" w:type="dxa"/>
            <w:tcBorders>
              <w:top w:val="single" w:color="auto" w:sz="4" w:space="0"/>
              <w:left w:val="single" w:color="auto" w:sz="4" w:space="0"/>
              <w:bottom w:val="single" w:color="auto" w:sz="6" w:space="0"/>
              <w:right w:val="single" w:color="auto" w:sz="6" w:space="0"/>
            </w:tcBorders>
            <w:noWrap w:val="0"/>
            <w:vAlign w:val="center"/>
          </w:tcPr>
          <w:p>
            <w:pPr>
              <w:ind w:firstLine="0" w:firstLineChars="0"/>
              <w:jc w:val="center"/>
              <w:rPr>
                <w:rFonts w:cs="宋体"/>
              </w:rPr>
            </w:pPr>
            <w:r>
              <w:rPr>
                <w:rFonts w:hint="eastAsia" w:cs="宋体"/>
              </w:rPr>
              <w:t>序号</w:t>
            </w:r>
          </w:p>
        </w:tc>
        <w:tc>
          <w:tcPr>
            <w:tcW w:w="2370" w:type="dxa"/>
            <w:tcBorders>
              <w:top w:val="single" w:color="auto" w:sz="4" w:space="0"/>
              <w:left w:val="single" w:color="auto" w:sz="6" w:space="0"/>
              <w:bottom w:val="single" w:color="auto" w:sz="6" w:space="0"/>
              <w:right w:val="single" w:color="auto" w:sz="6" w:space="0"/>
            </w:tcBorders>
            <w:noWrap w:val="0"/>
            <w:vAlign w:val="center"/>
          </w:tcPr>
          <w:p>
            <w:pPr>
              <w:ind w:firstLine="0" w:firstLineChars="0"/>
              <w:jc w:val="center"/>
              <w:rPr>
                <w:rFonts w:cs="宋体"/>
              </w:rPr>
            </w:pPr>
            <w:r>
              <w:rPr>
                <w:rFonts w:hint="eastAsia" w:cs="宋体"/>
              </w:rPr>
              <w:t>名 称</w:t>
            </w:r>
          </w:p>
        </w:tc>
        <w:tc>
          <w:tcPr>
            <w:tcW w:w="1080" w:type="dxa"/>
            <w:tcBorders>
              <w:top w:val="single" w:color="auto" w:sz="4" w:space="0"/>
              <w:left w:val="single" w:color="auto" w:sz="6" w:space="0"/>
              <w:bottom w:val="single" w:color="auto" w:sz="6" w:space="0"/>
              <w:right w:val="single" w:color="auto" w:sz="6" w:space="0"/>
            </w:tcBorders>
            <w:noWrap w:val="0"/>
            <w:vAlign w:val="center"/>
          </w:tcPr>
          <w:p>
            <w:pPr>
              <w:ind w:firstLine="0" w:firstLineChars="0"/>
              <w:jc w:val="center"/>
              <w:rPr>
                <w:rFonts w:cs="宋体"/>
              </w:rPr>
            </w:pPr>
            <w:r>
              <w:rPr>
                <w:rFonts w:hint="eastAsia" w:cs="宋体"/>
              </w:rPr>
              <w:t>单位</w:t>
            </w:r>
          </w:p>
        </w:tc>
        <w:tc>
          <w:tcPr>
            <w:tcW w:w="916" w:type="dxa"/>
            <w:tcBorders>
              <w:top w:val="single" w:color="auto" w:sz="4" w:space="0"/>
              <w:left w:val="single" w:color="auto" w:sz="6" w:space="0"/>
              <w:bottom w:val="single" w:color="auto" w:sz="6" w:space="0"/>
              <w:right w:val="single" w:color="auto" w:sz="6" w:space="0"/>
            </w:tcBorders>
            <w:noWrap w:val="0"/>
            <w:vAlign w:val="center"/>
          </w:tcPr>
          <w:p>
            <w:pPr>
              <w:ind w:firstLine="0" w:firstLineChars="0"/>
              <w:jc w:val="center"/>
              <w:rPr>
                <w:rFonts w:cs="宋体"/>
              </w:rPr>
            </w:pPr>
            <w:r>
              <w:rPr>
                <w:rFonts w:hint="eastAsia" w:cs="宋体"/>
              </w:rPr>
              <w:t>数量</w:t>
            </w:r>
          </w:p>
        </w:tc>
        <w:tc>
          <w:tcPr>
            <w:tcW w:w="2221" w:type="dxa"/>
            <w:tcBorders>
              <w:top w:val="single" w:color="auto" w:sz="4" w:space="0"/>
              <w:left w:val="single" w:color="auto" w:sz="6" w:space="0"/>
              <w:bottom w:val="single" w:color="auto" w:sz="6" w:space="0"/>
              <w:right w:val="single" w:color="auto" w:sz="4" w:space="0"/>
            </w:tcBorders>
            <w:noWrap w:val="0"/>
            <w:vAlign w:val="center"/>
          </w:tcPr>
          <w:p>
            <w:pPr>
              <w:ind w:firstLine="0" w:firstLineChars="0"/>
              <w:jc w:val="center"/>
              <w:rPr>
                <w:rFonts w:cs="宋体"/>
              </w:rPr>
            </w:pPr>
            <w:r>
              <w:rPr>
                <w:rFonts w:hint="eastAsia" w:cs="宋体"/>
              </w:rPr>
              <w:t>备   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67" w:hRule="exact"/>
          <w:jc w:val="center"/>
        </w:trPr>
        <w:tc>
          <w:tcPr>
            <w:tcW w:w="813" w:type="dxa"/>
            <w:tcBorders>
              <w:top w:val="single" w:color="auto" w:sz="6" w:space="0"/>
              <w:left w:val="single" w:color="auto" w:sz="4" w:space="0"/>
              <w:bottom w:val="single" w:color="auto" w:sz="6" w:space="0"/>
              <w:right w:val="single" w:color="auto" w:sz="6" w:space="0"/>
            </w:tcBorders>
            <w:noWrap w:val="0"/>
            <w:vAlign w:val="bottom"/>
          </w:tcPr>
          <w:p>
            <w:pPr>
              <w:ind w:firstLine="0" w:firstLineChars="0"/>
              <w:jc w:val="center"/>
              <w:rPr>
                <w:rFonts w:cs="宋体"/>
              </w:rPr>
            </w:pPr>
            <w:r>
              <w:rPr>
                <w:rFonts w:hint="eastAsia" w:cs="宋体"/>
              </w:rPr>
              <w:t>1</w:t>
            </w:r>
          </w:p>
        </w:tc>
        <w:tc>
          <w:tcPr>
            <w:tcW w:w="2370" w:type="dxa"/>
            <w:tcBorders>
              <w:top w:val="single" w:color="auto" w:sz="6" w:space="0"/>
              <w:left w:val="single" w:color="auto" w:sz="6" w:space="0"/>
              <w:bottom w:val="single" w:color="auto" w:sz="6" w:space="0"/>
              <w:right w:val="single" w:color="auto" w:sz="6" w:space="0"/>
            </w:tcBorders>
            <w:noWrap w:val="0"/>
            <w:vAlign w:val="bottom"/>
          </w:tcPr>
          <w:p>
            <w:pPr>
              <w:ind w:firstLine="0" w:firstLineChars="0"/>
              <w:jc w:val="center"/>
              <w:rPr>
                <w:rFonts w:ascii="楷体_GB2312" w:hAnsi="宋体" w:cs="宋体"/>
              </w:rPr>
            </w:pPr>
            <w:r>
              <w:rPr>
                <w:rFonts w:hint="eastAsia" w:ascii="楷体_GB2312" w:hAnsi="宋体" w:cs="宋体"/>
              </w:rPr>
              <w:t>过滤器芯</w:t>
            </w:r>
          </w:p>
        </w:tc>
        <w:tc>
          <w:tcPr>
            <w:tcW w:w="1080" w:type="dxa"/>
            <w:tcBorders>
              <w:top w:val="single" w:color="auto" w:sz="6" w:space="0"/>
              <w:left w:val="single" w:color="auto" w:sz="6" w:space="0"/>
              <w:bottom w:val="single" w:color="auto" w:sz="6" w:space="0"/>
              <w:right w:val="single" w:color="auto" w:sz="6" w:space="0"/>
            </w:tcBorders>
            <w:noWrap w:val="0"/>
            <w:vAlign w:val="bottom"/>
          </w:tcPr>
          <w:p>
            <w:pPr>
              <w:ind w:firstLine="0" w:firstLineChars="0"/>
              <w:jc w:val="center"/>
              <w:rPr>
                <w:rFonts w:cs="宋体"/>
              </w:rPr>
            </w:pPr>
            <w:r>
              <w:rPr>
                <w:rFonts w:hint="eastAsia" w:cs="宋体"/>
              </w:rPr>
              <w:t>套</w:t>
            </w:r>
          </w:p>
        </w:tc>
        <w:tc>
          <w:tcPr>
            <w:tcW w:w="916" w:type="dxa"/>
            <w:tcBorders>
              <w:top w:val="single" w:color="auto" w:sz="6" w:space="0"/>
              <w:left w:val="single" w:color="auto" w:sz="6" w:space="0"/>
              <w:bottom w:val="single" w:color="auto" w:sz="6" w:space="0"/>
              <w:right w:val="single" w:color="auto" w:sz="6" w:space="0"/>
            </w:tcBorders>
            <w:noWrap w:val="0"/>
            <w:vAlign w:val="bottom"/>
          </w:tcPr>
          <w:p>
            <w:pPr>
              <w:ind w:firstLine="0" w:firstLineChars="0"/>
              <w:jc w:val="center"/>
            </w:pPr>
            <w:r>
              <w:rPr>
                <w:rFonts w:hint="eastAsia"/>
              </w:rPr>
              <w:t>5</w:t>
            </w:r>
          </w:p>
        </w:tc>
        <w:tc>
          <w:tcPr>
            <w:tcW w:w="2221" w:type="dxa"/>
            <w:tcBorders>
              <w:top w:val="single" w:color="auto" w:sz="6" w:space="0"/>
              <w:left w:val="single" w:color="auto" w:sz="6" w:space="0"/>
              <w:bottom w:val="single" w:color="auto" w:sz="6" w:space="0"/>
              <w:right w:val="single" w:color="auto" w:sz="4" w:space="0"/>
            </w:tcBorders>
            <w:noWrap w:val="0"/>
            <w:vAlign w:val="bottom"/>
          </w:tcPr>
          <w:p>
            <w:pPr>
              <w:ind w:firstLine="0" w:firstLineChars="0"/>
              <w:jc w:val="center"/>
              <w:rPr>
                <w:rFonts w:cs="宋体"/>
                <w:color w:val="FF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1" w:hRule="exact"/>
          <w:jc w:val="center"/>
        </w:trPr>
        <w:tc>
          <w:tcPr>
            <w:tcW w:w="813" w:type="dxa"/>
            <w:tcBorders>
              <w:top w:val="single" w:color="auto" w:sz="6" w:space="0"/>
              <w:left w:val="single" w:color="auto" w:sz="4" w:space="0"/>
              <w:bottom w:val="single" w:color="auto" w:sz="6" w:space="0"/>
              <w:right w:val="single" w:color="auto" w:sz="6" w:space="0"/>
            </w:tcBorders>
            <w:noWrap w:val="0"/>
            <w:vAlign w:val="bottom"/>
          </w:tcPr>
          <w:p>
            <w:pPr>
              <w:ind w:firstLine="0" w:firstLineChars="0"/>
              <w:jc w:val="center"/>
              <w:rPr>
                <w:rFonts w:cs="宋体"/>
              </w:rPr>
            </w:pPr>
            <w:r>
              <w:rPr>
                <w:rFonts w:hint="eastAsia" w:cs="宋体"/>
              </w:rPr>
              <w:t>2</w:t>
            </w:r>
          </w:p>
        </w:tc>
        <w:tc>
          <w:tcPr>
            <w:tcW w:w="2370" w:type="dxa"/>
            <w:tcBorders>
              <w:top w:val="single" w:color="auto" w:sz="6" w:space="0"/>
              <w:left w:val="single" w:color="auto" w:sz="6" w:space="0"/>
              <w:bottom w:val="single" w:color="auto" w:sz="6" w:space="0"/>
              <w:right w:val="single" w:color="auto" w:sz="6" w:space="0"/>
            </w:tcBorders>
            <w:noWrap w:val="0"/>
            <w:vAlign w:val="bottom"/>
          </w:tcPr>
          <w:p>
            <w:pPr>
              <w:ind w:firstLine="0" w:firstLineChars="0"/>
              <w:jc w:val="center"/>
              <w:rPr>
                <w:rFonts w:ascii="楷体_GB2312" w:hAnsi="宋体" w:cs="宋体"/>
              </w:rPr>
            </w:pPr>
            <w:r>
              <w:rPr>
                <w:rFonts w:hint="eastAsia" w:ascii="宋体" w:hAnsi="宋体"/>
              </w:rPr>
              <w:t>送风盘管</w:t>
            </w:r>
          </w:p>
        </w:tc>
        <w:tc>
          <w:tcPr>
            <w:tcW w:w="1080" w:type="dxa"/>
            <w:tcBorders>
              <w:top w:val="single" w:color="auto" w:sz="6" w:space="0"/>
              <w:left w:val="single" w:color="auto" w:sz="6" w:space="0"/>
              <w:bottom w:val="single" w:color="auto" w:sz="6" w:space="0"/>
              <w:right w:val="single" w:color="auto" w:sz="6" w:space="0"/>
            </w:tcBorders>
            <w:noWrap w:val="0"/>
            <w:vAlign w:val="bottom"/>
          </w:tcPr>
          <w:p>
            <w:pPr>
              <w:ind w:firstLine="0" w:firstLineChars="0"/>
              <w:jc w:val="center"/>
              <w:rPr>
                <w:rFonts w:cs="宋体"/>
              </w:rPr>
            </w:pPr>
            <w:r>
              <w:rPr>
                <w:rFonts w:hint="eastAsia" w:cs="宋体"/>
              </w:rPr>
              <w:t>条</w:t>
            </w:r>
          </w:p>
        </w:tc>
        <w:tc>
          <w:tcPr>
            <w:tcW w:w="916" w:type="dxa"/>
            <w:tcBorders>
              <w:top w:val="single" w:color="auto" w:sz="6" w:space="0"/>
              <w:left w:val="single" w:color="auto" w:sz="6" w:space="0"/>
              <w:bottom w:val="single" w:color="auto" w:sz="6" w:space="0"/>
              <w:right w:val="single" w:color="auto" w:sz="6" w:space="0"/>
            </w:tcBorders>
            <w:noWrap w:val="0"/>
            <w:vAlign w:val="bottom"/>
          </w:tcPr>
          <w:p>
            <w:pPr>
              <w:ind w:firstLine="0" w:firstLineChars="0"/>
              <w:jc w:val="center"/>
            </w:pPr>
            <w:r>
              <w:rPr>
                <w:rFonts w:hint="eastAsia"/>
              </w:rPr>
              <w:t>1</w:t>
            </w:r>
          </w:p>
        </w:tc>
        <w:tc>
          <w:tcPr>
            <w:tcW w:w="2221" w:type="dxa"/>
            <w:tcBorders>
              <w:top w:val="single" w:color="auto" w:sz="6" w:space="0"/>
              <w:left w:val="single" w:color="auto" w:sz="6" w:space="0"/>
              <w:bottom w:val="single" w:color="auto" w:sz="6" w:space="0"/>
              <w:right w:val="single" w:color="auto" w:sz="4" w:space="0"/>
            </w:tcBorders>
            <w:noWrap w:val="0"/>
            <w:vAlign w:val="bottom"/>
          </w:tcPr>
          <w:p>
            <w:pPr>
              <w:ind w:firstLine="0" w:firstLineChars="0"/>
              <w:jc w:val="center"/>
              <w:rPr>
                <w:rFonts w:cs="宋体"/>
              </w:rPr>
            </w:pPr>
          </w:p>
        </w:tc>
      </w:tr>
    </w:tbl>
    <w:p>
      <w:pPr>
        <w:ind w:firstLine="480"/>
      </w:pPr>
    </w:p>
    <w:bookmarkEnd w:id="79"/>
    <w:p>
      <w:pPr>
        <w:pStyle w:val="2"/>
        <w:rPr>
          <w:rFonts w:ascii="仿宋_GB2312" w:eastAsia="仿宋_GB2312"/>
        </w:rPr>
      </w:pPr>
      <w:bookmarkStart w:id="80" w:name="_Toc18351"/>
      <w:bookmarkStart w:id="81" w:name="_Toc3070"/>
      <w:bookmarkStart w:id="82" w:name="_Toc27905"/>
      <w:bookmarkStart w:id="83" w:name="_Toc15748"/>
      <w:bookmarkStart w:id="84" w:name="_Toc8480"/>
      <w:bookmarkStart w:id="85" w:name="_Toc497307454"/>
      <w:r>
        <w:rPr>
          <w:rFonts w:hint="eastAsia" w:ascii="仿宋_GB2312" w:eastAsia="仿宋_GB2312"/>
        </w:rPr>
        <w:t>2.设备安装</w:t>
      </w:r>
      <w:bookmarkEnd w:id="80"/>
      <w:bookmarkEnd w:id="81"/>
      <w:bookmarkEnd w:id="82"/>
      <w:bookmarkEnd w:id="83"/>
      <w:bookmarkEnd w:id="84"/>
      <w:bookmarkEnd w:id="85"/>
    </w:p>
    <w:p>
      <w:pPr>
        <w:pStyle w:val="3"/>
      </w:pPr>
      <w:bookmarkStart w:id="86" w:name="_Toc497307455"/>
      <w:bookmarkStart w:id="87" w:name="_Toc24217"/>
      <w:bookmarkStart w:id="88" w:name="_Toc900"/>
      <w:bookmarkStart w:id="89" w:name="_Toc19171"/>
      <w:bookmarkStart w:id="90" w:name="_Toc2093"/>
      <w:bookmarkStart w:id="91" w:name="_Toc1885"/>
      <w:r>
        <w:rPr>
          <w:rFonts w:hint="eastAsia"/>
        </w:rPr>
        <w:t>2.1测径仪进厂前的准备</w:t>
      </w:r>
      <w:bookmarkEnd w:id="86"/>
      <w:bookmarkEnd w:id="87"/>
      <w:bookmarkEnd w:id="88"/>
      <w:bookmarkEnd w:id="89"/>
      <w:bookmarkEnd w:id="90"/>
      <w:bookmarkEnd w:id="91"/>
    </w:p>
    <w:p>
      <w:pPr>
        <w:spacing w:line="360" w:lineRule="auto"/>
        <w:ind w:firstLine="480"/>
        <w:rPr>
          <w:rFonts w:ascii="仿宋_GB2312" w:eastAsia="仿宋_GB2312"/>
        </w:rPr>
      </w:pPr>
      <w:r>
        <w:rPr>
          <w:rFonts w:hint="eastAsia" w:ascii="仿宋_GB2312" w:eastAsia="仿宋_GB2312"/>
        </w:rPr>
        <w:t>根据预先指定的现场位置，按照《测径仪布置图》和《测径仪基础图》的要求铺设基础，注意基础面的平整和稳定。经过实地的勘查，确认地脚螺栓规格、外露长度、位置尺寸等指标均符合设计要求，供电线路接口均已就绪。测径仪用户可通知蓝鹏测控科技有限公司进行测径仪现场安装。</w:t>
      </w:r>
    </w:p>
    <w:p>
      <w:pPr>
        <w:pStyle w:val="3"/>
      </w:pPr>
      <w:bookmarkStart w:id="92" w:name="_Toc24204"/>
      <w:bookmarkStart w:id="93" w:name="_Toc4056"/>
      <w:bookmarkStart w:id="94" w:name="_Toc8629"/>
      <w:bookmarkStart w:id="95" w:name="_Toc497307456"/>
      <w:bookmarkStart w:id="96" w:name="_Toc23570"/>
      <w:bookmarkStart w:id="97" w:name="_Toc2836"/>
      <w:r>
        <w:rPr>
          <w:rFonts w:hint="eastAsia"/>
        </w:rPr>
        <w:t>2.2测量车的安装</w:t>
      </w:r>
      <w:bookmarkEnd w:id="92"/>
      <w:bookmarkEnd w:id="93"/>
      <w:bookmarkEnd w:id="94"/>
      <w:bookmarkEnd w:id="95"/>
      <w:bookmarkEnd w:id="96"/>
      <w:bookmarkEnd w:id="97"/>
    </w:p>
    <w:p>
      <w:pPr>
        <w:spacing w:line="360" w:lineRule="auto"/>
        <w:ind w:firstLine="480"/>
        <w:rPr>
          <w:rFonts w:ascii="仿宋_GB2312" w:eastAsia="仿宋_GB2312"/>
        </w:rPr>
      </w:pPr>
      <w:r>
        <w:rPr>
          <w:rFonts w:hint="eastAsia" w:ascii="仿宋_GB2312" w:eastAsia="仿宋_GB2312"/>
        </w:rPr>
        <w:t>将测量车上线并作水平、垂直位置调整。先保证测量面与轧线垂直，然后将测量中心与轧线导槽中心对正。调整完成后将用螺母将测量车固定在基础上。</w:t>
      </w:r>
    </w:p>
    <w:p>
      <w:pPr>
        <w:pStyle w:val="3"/>
      </w:pPr>
      <w:bookmarkStart w:id="98" w:name="_Toc9486"/>
      <w:bookmarkStart w:id="99" w:name="_Toc22098"/>
      <w:bookmarkStart w:id="100" w:name="_Toc15549"/>
      <w:bookmarkStart w:id="101" w:name="_Toc497307457"/>
      <w:bookmarkStart w:id="102" w:name="_Toc18128"/>
      <w:bookmarkStart w:id="103" w:name="_Toc24395"/>
      <w:r>
        <w:rPr>
          <w:rFonts w:hint="eastAsia"/>
        </w:rPr>
        <w:t>2.3电源、电器及通信线缆的敷设</w:t>
      </w:r>
      <w:bookmarkEnd w:id="98"/>
      <w:bookmarkEnd w:id="99"/>
      <w:bookmarkEnd w:id="100"/>
      <w:bookmarkEnd w:id="101"/>
      <w:bookmarkEnd w:id="102"/>
      <w:bookmarkEnd w:id="103"/>
    </w:p>
    <w:p>
      <w:pPr>
        <w:spacing w:line="360" w:lineRule="auto"/>
        <w:ind w:firstLine="480"/>
        <w:rPr>
          <w:rFonts w:ascii="仿宋_GB2312" w:eastAsia="仿宋_GB2312"/>
        </w:rPr>
      </w:pPr>
      <w:r>
        <w:rPr>
          <w:rFonts w:hint="eastAsia" w:ascii="仿宋_GB2312" w:eastAsia="仿宋_GB2312"/>
        </w:rPr>
        <w:t>测径仪系统的线缆请按图敷设，见设备安装图《测径仪现场布线图》。</w:t>
      </w:r>
    </w:p>
    <w:p>
      <w:pPr>
        <w:spacing w:line="360" w:lineRule="auto"/>
        <w:ind w:firstLine="480"/>
        <w:rPr>
          <w:rFonts w:ascii="仿宋_GB2312" w:eastAsia="仿宋_GB2312"/>
        </w:rPr>
      </w:pPr>
      <w:r>
        <w:rPr>
          <w:rFonts w:hint="eastAsia" w:ascii="仿宋_GB2312" w:eastAsia="仿宋_GB2312"/>
        </w:rPr>
        <w:t>供电部分：由控制室预留的动力电源提供给主控机柜，输入到主控机柜的电源必须先经过交流净化稳压电源，然后再由主控机柜转接到测量车和LED显示屏。高压离心通风机的动力电就近连接。</w:t>
      </w:r>
    </w:p>
    <w:p>
      <w:pPr>
        <w:spacing w:line="360" w:lineRule="auto"/>
        <w:ind w:firstLine="480"/>
        <w:rPr>
          <w:rFonts w:ascii="仿宋_GB2312" w:eastAsia="仿宋_GB2312"/>
        </w:rPr>
      </w:pPr>
      <w:r>
        <w:rPr>
          <w:rFonts w:hint="eastAsia" w:ascii="仿宋_GB2312" w:eastAsia="仿宋_GB2312"/>
        </w:rPr>
        <w:t>信号部分：主控机柜与测量车之间采用TCP/IP协议光缆连接（使用一对，备用一对）。主控机柜与现场LED显示屏之间采用TCP/IP协议光缆连接（使用一对，备用一对）。</w:t>
      </w:r>
    </w:p>
    <w:p>
      <w:pPr>
        <w:spacing w:line="360" w:lineRule="auto"/>
        <w:ind w:firstLine="480"/>
        <w:rPr>
          <w:rFonts w:ascii="仿宋_GB2312" w:eastAsia="仿宋_GB2312"/>
        </w:rPr>
      </w:pPr>
      <w:r>
        <w:rPr>
          <w:rFonts w:hint="eastAsia" w:ascii="仿宋_GB2312" w:eastAsia="仿宋_GB2312"/>
        </w:rPr>
        <w:t>注意：所有电器连接线均需穿金属管，连好保护接地线。光纤通信线虽已有加强护套但仍应注意避免意外损伤。测量车与配电箱金属管之间的线路应穿橡胶管并通过拖链以免测量车上下线时损坏线路。</w:t>
      </w:r>
    </w:p>
    <w:p>
      <w:pPr>
        <w:pStyle w:val="3"/>
      </w:pPr>
      <w:bookmarkStart w:id="104" w:name="_Toc4553"/>
      <w:bookmarkStart w:id="105" w:name="_Toc29328"/>
      <w:bookmarkStart w:id="106" w:name="_Toc9936"/>
      <w:bookmarkStart w:id="107" w:name="_Toc294"/>
      <w:bookmarkStart w:id="108" w:name="_Toc497307458"/>
      <w:bookmarkStart w:id="109" w:name="_Toc3368"/>
      <w:r>
        <w:rPr>
          <w:rFonts w:hint="eastAsia"/>
        </w:rPr>
        <w:t>2.4主控机柜</w:t>
      </w:r>
      <w:bookmarkEnd w:id="104"/>
      <w:bookmarkEnd w:id="105"/>
      <w:bookmarkEnd w:id="106"/>
      <w:bookmarkEnd w:id="107"/>
      <w:bookmarkEnd w:id="108"/>
      <w:bookmarkEnd w:id="109"/>
    </w:p>
    <w:p>
      <w:pPr>
        <w:spacing w:line="360" w:lineRule="auto"/>
        <w:ind w:firstLine="480"/>
        <w:rPr>
          <w:rFonts w:ascii="仿宋_GB2312" w:eastAsia="仿宋_GB2312"/>
        </w:rPr>
      </w:pPr>
      <w:r>
        <w:rPr>
          <w:rFonts w:hint="eastAsia" w:ascii="仿宋_GB2312" w:eastAsia="仿宋_GB2312"/>
        </w:rPr>
        <w:t>确认现场预留的动力电源（交流照明电）电压符合要求，即可将电源引线接至交流净化稳压电源。</w:t>
      </w:r>
    </w:p>
    <w:p>
      <w:pPr>
        <w:spacing w:line="360" w:lineRule="auto"/>
        <w:ind w:firstLine="480"/>
        <w:rPr>
          <w:rFonts w:ascii="仿宋_GB2312" w:eastAsia="仿宋_GB2312"/>
        </w:rPr>
      </w:pPr>
      <w:r>
        <w:rPr>
          <w:rFonts w:hint="eastAsia" w:ascii="仿宋_GB2312" w:eastAsia="仿宋_GB2312"/>
        </w:rPr>
        <w:t>按照用户要求将主控机柜摆放到位，将交流净化稳压电源以及测量车、现场LED显示屏的转接线缆连接到主控机柜后面板的插孔上。</w:t>
      </w:r>
    </w:p>
    <w:p>
      <w:pPr>
        <w:pStyle w:val="3"/>
      </w:pPr>
      <w:bookmarkStart w:id="110" w:name="_Toc13116"/>
      <w:bookmarkStart w:id="111" w:name="_Toc16918"/>
      <w:bookmarkStart w:id="112" w:name="_Toc31409"/>
      <w:bookmarkStart w:id="113" w:name="_Toc497307459"/>
      <w:bookmarkStart w:id="114" w:name="_Toc30344"/>
      <w:bookmarkStart w:id="115" w:name="_Toc20571"/>
      <w:r>
        <w:rPr>
          <w:rFonts w:hint="eastAsia"/>
        </w:rPr>
        <w:t>2.5 现场LED显示屏的挂装</w:t>
      </w:r>
      <w:bookmarkEnd w:id="110"/>
      <w:bookmarkEnd w:id="111"/>
      <w:bookmarkEnd w:id="112"/>
      <w:bookmarkEnd w:id="113"/>
      <w:bookmarkEnd w:id="114"/>
      <w:bookmarkEnd w:id="115"/>
    </w:p>
    <w:p>
      <w:pPr>
        <w:spacing w:line="360" w:lineRule="auto"/>
        <w:ind w:firstLine="480"/>
        <w:rPr>
          <w:rFonts w:ascii="仿宋_GB2312" w:eastAsia="仿宋_GB2312"/>
        </w:rPr>
      </w:pPr>
      <w:r>
        <w:rPr>
          <w:rFonts w:hint="eastAsia" w:ascii="仿宋_GB2312" w:eastAsia="仿宋_GB2312"/>
        </w:rPr>
        <w:t>将现场</w:t>
      </w:r>
      <w:r>
        <w:rPr>
          <w:rFonts w:eastAsia="仿宋_GB2312"/>
        </w:rPr>
        <w:t>LED</w:t>
      </w:r>
      <w:r>
        <w:rPr>
          <w:rFonts w:hint="eastAsia" w:ascii="仿宋_GB2312" w:eastAsia="仿宋_GB2312"/>
        </w:rPr>
        <w:t>显示屏按现场实际条件和需要挂装到适当位置。将从主控机柜引来信号线和现场电源线接通。</w:t>
      </w:r>
    </w:p>
    <w:p>
      <w:pPr>
        <w:pStyle w:val="3"/>
      </w:pPr>
      <w:bookmarkStart w:id="116" w:name="_Toc4363"/>
      <w:bookmarkStart w:id="117" w:name="_Toc3003"/>
      <w:bookmarkStart w:id="118" w:name="_Toc30809"/>
      <w:bookmarkStart w:id="119" w:name="_Toc20106"/>
      <w:bookmarkStart w:id="120" w:name="_Toc11867"/>
      <w:bookmarkStart w:id="121" w:name="_Toc497307460"/>
      <w:r>
        <w:rPr>
          <w:rFonts w:hint="eastAsia"/>
        </w:rPr>
        <w:t>2.6鼓风机的安装</w:t>
      </w:r>
      <w:bookmarkEnd w:id="116"/>
      <w:bookmarkEnd w:id="117"/>
      <w:bookmarkEnd w:id="118"/>
      <w:bookmarkEnd w:id="119"/>
      <w:bookmarkEnd w:id="120"/>
      <w:bookmarkEnd w:id="121"/>
    </w:p>
    <w:p>
      <w:pPr>
        <w:spacing w:line="360" w:lineRule="auto"/>
        <w:ind w:firstLine="480"/>
        <w:rPr>
          <w:rFonts w:ascii="仿宋_GB2312" w:eastAsia="仿宋_GB2312"/>
        </w:rPr>
      </w:pPr>
      <w:r>
        <w:rPr>
          <w:rFonts w:hint="eastAsia" w:ascii="仿宋_GB2312" w:eastAsia="仿宋_GB2312"/>
        </w:rPr>
        <w:t>将鼓风机安放在鼓风机基础上，出风口朝向测量车的进风口，地脚螺栓紧固牢固。再将空气过滤装置用螺栓固定在鼓风机的进风口上，装入滤芯。给风机接上</w:t>
      </w:r>
      <w:r>
        <w:rPr>
          <w:rFonts w:eastAsia="仿宋_GB2312"/>
        </w:rPr>
        <w:t>380V</w:t>
      </w:r>
      <w:r>
        <w:rPr>
          <w:rFonts w:hint="eastAsia" w:eastAsia="仿宋_GB2312"/>
        </w:rPr>
        <w:t>动力电试车，调整好风机叶轮的旋向。最后把风机的出风口与测量车的进风口用软管接通，软管的长度以测量车上线后正好伸直为宜，用管卡将软管两端固定后风机安装完毕。</w:t>
      </w:r>
    </w:p>
    <w:p>
      <w:pPr>
        <w:pStyle w:val="2"/>
        <w:rPr>
          <w:rFonts w:ascii="仿宋_GB2312" w:eastAsia="仿宋_GB2312"/>
        </w:rPr>
      </w:pPr>
      <w:bookmarkStart w:id="122" w:name="_Toc20379"/>
      <w:bookmarkStart w:id="123" w:name="_Toc1369"/>
      <w:bookmarkStart w:id="124" w:name="_Toc497307461"/>
      <w:bookmarkStart w:id="125" w:name="_Toc13220"/>
      <w:bookmarkStart w:id="126" w:name="_Toc5056"/>
      <w:bookmarkStart w:id="127" w:name="_Toc10043"/>
      <w:r>
        <w:rPr>
          <w:rFonts w:hint="eastAsia" w:ascii="仿宋_GB2312" w:eastAsia="仿宋_GB2312"/>
        </w:rPr>
        <w:t>3.设备调试</w:t>
      </w:r>
      <w:bookmarkEnd w:id="122"/>
      <w:bookmarkEnd w:id="123"/>
      <w:bookmarkEnd w:id="124"/>
      <w:bookmarkEnd w:id="125"/>
      <w:bookmarkEnd w:id="126"/>
      <w:bookmarkEnd w:id="127"/>
    </w:p>
    <w:p>
      <w:pPr>
        <w:pStyle w:val="3"/>
      </w:pPr>
      <w:bookmarkStart w:id="128" w:name="_Toc15183"/>
      <w:bookmarkStart w:id="129" w:name="_Toc17072"/>
      <w:bookmarkStart w:id="130" w:name="_Toc30811"/>
      <w:bookmarkStart w:id="131" w:name="_Toc497307462"/>
      <w:bookmarkStart w:id="132" w:name="_Toc12327"/>
      <w:bookmarkStart w:id="133" w:name="_Toc18464"/>
      <w:r>
        <w:rPr>
          <w:rFonts w:hint="eastAsia"/>
        </w:rPr>
        <w:t>3.1调试前的准备工作</w:t>
      </w:r>
      <w:bookmarkEnd w:id="128"/>
      <w:bookmarkEnd w:id="129"/>
      <w:bookmarkEnd w:id="130"/>
      <w:bookmarkEnd w:id="131"/>
      <w:bookmarkEnd w:id="132"/>
      <w:bookmarkEnd w:id="133"/>
    </w:p>
    <w:p>
      <w:pPr>
        <w:spacing w:line="360" w:lineRule="auto"/>
        <w:ind w:firstLine="480"/>
        <w:rPr>
          <w:rFonts w:ascii="仿宋_GB2312" w:eastAsia="仿宋_GB2312"/>
        </w:rPr>
      </w:pPr>
      <w:r>
        <w:rPr>
          <w:rFonts w:hint="eastAsia" w:ascii="仿宋_GB2312" w:eastAsia="仿宋_GB2312"/>
        </w:rPr>
        <w:t>当上述安装步骤完成，进入设备调试阶段。</w:t>
      </w:r>
    </w:p>
    <w:p>
      <w:pPr>
        <w:pStyle w:val="3"/>
      </w:pPr>
      <w:bookmarkStart w:id="134" w:name="_Toc497307463"/>
      <w:bookmarkStart w:id="135" w:name="_Toc21808"/>
      <w:bookmarkStart w:id="136" w:name="_Toc15670"/>
      <w:bookmarkStart w:id="137" w:name="_Toc29373"/>
      <w:bookmarkStart w:id="138" w:name="_Toc7744"/>
      <w:bookmarkStart w:id="139" w:name="_Toc12695"/>
      <w:r>
        <w:rPr>
          <w:rFonts w:hint="eastAsia"/>
        </w:rPr>
        <w:t>3.2通电检查</w:t>
      </w:r>
      <w:bookmarkEnd w:id="134"/>
      <w:bookmarkEnd w:id="135"/>
      <w:bookmarkEnd w:id="136"/>
      <w:bookmarkEnd w:id="137"/>
      <w:bookmarkEnd w:id="138"/>
      <w:bookmarkEnd w:id="139"/>
    </w:p>
    <w:p>
      <w:pPr>
        <w:spacing w:line="360" w:lineRule="auto"/>
        <w:ind w:firstLine="480"/>
        <w:rPr>
          <w:rFonts w:ascii="仿宋_GB2312" w:eastAsia="仿宋_GB2312"/>
          <w:lang w:val="en-AU"/>
        </w:rPr>
      </w:pPr>
      <w:r>
        <w:rPr>
          <w:rFonts w:hint="eastAsia" w:ascii="仿宋_GB2312" w:eastAsia="仿宋_GB2312"/>
          <w:lang w:val="en-AU"/>
        </w:rPr>
        <w:t>★ 开启</w:t>
      </w:r>
      <w:r>
        <w:rPr>
          <w:rFonts w:hint="eastAsia" w:ascii="仿宋_GB2312" w:eastAsia="仿宋_GB2312"/>
        </w:rPr>
        <w:t>交流净化稳压电源</w:t>
      </w:r>
      <w:r>
        <w:rPr>
          <w:rFonts w:hint="eastAsia" w:ascii="仿宋_GB2312" w:eastAsia="仿宋_GB2312"/>
          <w:lang w:val="en-AU"/>
        </w:rPr>
        <w:t>开关，检查电源电压输出是否正常，若电压正常可继续操作。</w:t>
      </w:r>
    </w:p>
    <w:p>
      <w:pPr>
        <w:spacing w:line="360" w:lineRule="auto"/>
        <w:ind w:firstLine="480"/>
        <w:rPr>
          <w:rFonts w:ascii="仿宋_GB2312" w:eastAsia="仿宋_GB2312"/>
          <w:lang w:val="en-AU"/>
        </w:rPr>
      </w:pPr>
      <w:r>
        <w:rPr>
          <w:rFonts w:hint="eastAsia" w:ascii="仿宋_GB2312" w:eastAsia="仿宋_GB2312"/>
          <w:lang w:val="en-AU"/>
        </w:rPr>
        <w:t>★ 工控机操作。打开工控机盖门，按下工控机电源开关，相应指示灯亮，经过一段时间后，系统进入工作状态。</w:t>
      </w:r>
    </w:p>
    <w:p>
      <w:pPr>
        <w:spacing w:line="360" w:lineRule="auto"/>
        <w:ind w:firstLine="480"/>
        <w:rPr>
          <w:rFonts w:ascii="仿宋_GB2312" w:eastAsia="仿宋_GB2312"/>
        </w:rPr>
      </w:pPr>
      <w:r>
        <w:rPr>
          <w:rFonts w:hint="eastAsia" w:ascii="仿宋_GB2312" w:eastAsia="仿宋_GB2312"/>
          <w:lang w:val="en-AU"/>
        </w:rPr>
        <w:t xml:space="preserve">★ </w:t>
      </w:r>
      <w:r>
        <w:rPr>
          <w:rFonts w:hint="eastAsia" w:ascii="仿宋_GB2312" w:eastAsia="仿宋_GB2312"/>
        </w:rPr>
        <w:t>主控机柜操作：首先，按下“工作开”按钮，“工作”指示绿灯亮，测量车进入工作状态。</w:t>
      </w:r>
    </w:p>
    <w:p>
      <w:pPr>
        <w:pStyle w:val="3"/>
      </w:pPr>
      <w:bookmarkStart w:id="140" w:name="_Toc20239"/>
      <w:bookmarkStart w:id="141" w:name="_Toc7340"/>
      <w:bookmarkStart w:id="142" w:name="_Toc951"/>
      <w:bookmarkStart w:id="143" w:name="_Toc497307464"/>
      <w:bookmarkStart w:id="144" w:name="_Toc18190"/>
      <w:bookmarkStart w:id="145" w:name="_Toc212"/>
      <w:r>
        <w:rPr>
          <w:rFonts w:hint="eastAsia"/>
        </w:rPr>
        <w:t>3.3静态调试（离线）</w:t>
      </w:r>
      <w:bookmarkEnd w:id="140"/>
      <w:bookmarkEnd w:id="141"/>
      <w:bookmarkEnd w:id="142"/>
      <w:bookmarkEnd w:id="143"/>
      <w:bookmarkEnd w:id="144"/>
      <w:bookmarkEnd w:id="145"/>
    </w:p>
    <w:p>
      <w:pPr>
        <w:spacing w:line="360" w:lineRule="auto"/>
        <w:ind w:firstLine="480"/>
        <w:rPr>
          <w:rFonts w:ascii="仿宋_GB2312" w:eastAsia="仿宋_GB2312"/>
        </w:rPr>
      </w:pPr>
      <w:r>
        <w:rPr>
          <w:rFonts w:hint="eastAsia" w:ascii="仿宋_GB2312" w:eastAsia="仿宋_GB2312"/>
        </w:rPr>
        <w:t>根据测量范围确定标准棒（标准量块）的直径：选择《技术协议》规定的标准棒。</w:t>
      </w:r>
    </w:p>
    <w:p>
      <w:pPr>
        <w:spacing w:line="360" w:lineRule="auto"/>
        <w:ind w:firstLine="482"/>
        <w:rPr>
          <w:rFonts w:ascii="仿宋_GB2312" w:eastAsia="仿宋_GB2312"/>
          <w:b/>
        </w:rPr>
      </w:pPr>
      <w:r>
        <w:rPr>
          <w:rFonts w:hint="eastAsia" w:ascii="仿宋_GB2312" w:eastAsia="仿宋_GB2312"/>
          <w:b/>
        </w:rPr>
        <w:t>注：标准棒是精度极高的量具（精度为</w:t>
      </w:r>
      <w:r>
        <w:rPr>
          <w:rFonts w:eastAsia="仿宋_GB2312"/>
          <w:b/>
        </w:rPr>
        <w:t>0.002mm</w:t>
      </w:r>
      <w:r>
        <w:rPr>
          <w:rFonts w:hint="eastAsia" w:ascii="仿宋_GB2312" w:eastAsia="仿宋_GB2312"/>
          <w:b/>
        </w:rPr>
        <w:t>），特别注意不要将标准棒划伤，取时要戴软质（布、丝）手套。</w:t>
      </w:r>
    </w:p>
    <w:p>
      <w:pPr>
        <w:spacing w:line="360" w:lineRule="auto"/>
        <w:ind w:firstLine="480"/>
        <w:rPr>
          <w:rFonts w:ascii="仿宋_GB2312" w:eastAsia="仿宋_GB2312"/>
        </w:rPr>
      </w:pPr>
      <w:r>
        <w:rPr>
          <w:rFonts w:hint="eastAsia" w:ascii="仿宋_GB2312" w:eastAsia="仿宋_GB2312"/>
        </w:rPr>
        <w:t>将标准棒固定在校准支杆上；并将校准支杆从测径仪的出钢方向放入测量区进行校准。</w:t>
      </w:r>
    </w:p>
    <w:p>
      <w:pPr>
        <w:spacing w:line="360" w:lineRule="auto"/>
        <w:ind w:firstLine="480"/>
        <w:rPr>
          <w:rFonts w:ascii="仿宋_GB2312" w:eastAsia="仿宋_GB2312"/>
        </w:rPr>
      </w:pPr>
      <w:r>
        <w:rPr>
          <w:rFonts w:hint="eastAsia" w:ascii="仿宋_GB2312" w:eastAsia="仿宋_GB2312"/>
        </w:rPr>
        <w:t>方法：校准时，先启动软件进行参数设置，然后分别将标准棒放入测量车的测量区进行测量，并将测量数据与标准棒的标称值进行比照。</w:t>
      </w:r>
    </w:p>
    <w:p>
      <w:pPr>
        <w:spacing w:line="360" w:lineRule="auto"/>
        <w:ind w:firstLine="480"/>
        <w:rPr>
          <w:rFonts w:ascii="仿宋_GB2312" w:eastAsia="仿宋_GB2312"/>
        </w:rPr>
      </w:pPr>
      <w:r>
        <w:rPr>
          <w:rFonts w:hint="eastAsia" w:ascii="仿宋_GB2312" w:eastAsia="仿宋_GB2312"/>
        </w:rPr>
        <w:t>若比照的数据差值在规定的测量精度范围内，即可上线测量。详细操作见“校零系数”的使用。</w:t>
      </w:r>
    </w:p>
    <w:p>
      <w:pPr>
        <w:pStyle w:val="3"/>
      </w:pPr>
      <w:bookmarkStart w:id="146" w:name="_Toc3783"/>
      <w:bookmarkStart w:id="147" w:name="_Toc497307465"/>
      <w:bookmarkStart w:id="148" w:name="_Toc2940"/>
      <w:bookmarkStart w:id="149" w:name="_Toc23371"/>
      <w:bookmarkStart w:id="150" w:name="_Toc5953"/>
      <w:bookmarkStart w:id="151" w:name="_Toc8047"/>
      <w:r>
        <w:rPr>
          <w:rFonts w:hint="eastAsia"/>
        </w:rPr>
        <w:t>3.4动态调试（在线）</w:t>
      </w:r>
      <w:bookmarkEnd w:id="146"/>
      <w:bookmarkEnd w:id="147"/>
      <w:bookmarkEnd w:id="148"/>
      <w:bookmarkEnd w:id="149"/>
      <w:bookmarkEnd w:id="150"/>
      <w:bookmarkEnd w:id="151"/>
    </w:p>
    <w:p>
      <w:pPr>
        <w:spacing w:line="360" w:lineRule="auto"/>
        <w:ind w:firstLine="480"/>
        <w:rPr>
          <w:rFonts w:ascii="仿宋_GB2312" w:eastAsia="仿宋_GB2312"/>
        </w:rPr>
      </w:pPr>
      <w:r>
        <w:rPr>
          <w:rFonts w:hint="eastAsia" w:ascii="仿宋_GB2312" w:eastAsia="仿宋_GB2312"/>
        </w:rPr>
        <w:t>当静态测量正常，并确认鼓风机工作正常和供水正常后，伸入测量车的轧线导槽固定牢固。测量车开机工作</w:t>
      </w:r>
      <w:r>
        <w:rPr>
          <w:rFonts w:eastAsia="仿宋_GB2312"/>
        </w:rPr>
        <w:t>2</w:t>
      </w:r>
      <w:r>
        <w:rPr>
          <w:rFonts w:hint="eastAsia" w:ascii="仿宋_GB2312" w:eastAsia="仿宋_GB2312"/>
        </w:rPr>
        <w:t>小时后即可进行在线调试。</w:t>
      </w:r>
    </w:p>
    <w:p>
      <w:pPr>
        <w:spacing w:line="360" w:lineRule="auto"/>
        <w:ind w:firstLine="482"/>
        <w:rPr>
          <w:rFonts w:ascii="仿宋_GB2312" w:eastAsia="仿宋_GB2312"/>
          <w:b/>
        </w:rPr>
      </w:pPr>
      <w:r>
        <w:rPr>
          <w:rFonts w:hint="eastAsia" w:ascii="仿宋_GB2312" w:eastAsia="仿宋_GB2312"/>
          <w:b/>
        </w:rPr>
        <w:t>注意：在设备上线前必须保证鼓风机工作正常，否则不得上线！</w:t>
      </w:r>
    </w:p>
    <w:p>
      <w:pPr>
        <w:pStyle w:val="3"/>
      </w:pPr>
      <w:bookmarkStart w:id="152" w:name="_Toc21634"/>
      <w:bookmarkStart w:id="153" w:name="_Toc29877"/>
      <w:bookmarkStart w:id="154" w:name="_Toc497307466"/>
      <w:bookmarkStart w:id="155" w:name="_Toc24351"/>
      <w:bookmarkStart w:id="156" w:name="_Toc22077"/>
      <w:bookmarkStart w:id="157" w:name="_Toc9857"/>
      <w:r>
        <w:rPr>
          <w:rFonts w:hint="eastAsia"/>
        </w:rPr>
        <w:t>3.5上线测量</w:t>
      </w:r>
      <w:bookmarkEnd w:id="152"/>
      <w:bookmarkEnd w:id="153"/>
      <w:bookmarkEnd w:id="154"/>
      <w:bookmarkEnd w:id="155"/>
      <w:bookmarkEnd w:id="156"/>
      <w:bookmarkEnd w:id="157"/>
    </w:p>
    <w:p>
      <w:pPr>
        <w:spacing w:line="360" w:lineRule="auto"/>
        <w:ind w:firstLine="480"/>
        <w:rPr>
          <w:rFonts w:ascii="仿宋_GB2312" w:eastAsia="仿宋_GB2312"/>
        </w:rPr>
      </w:pPr>
      <w:r>
        <w:rPr>
          <w:rFonts w:hint="eastAsia" w:ascii="仿宋_GB2312" w:eastAsia="仿宋_GB2312"/>
        </w:rPr>
        <w:t>选择样件：选择一个正在轧制中的轧材直径，分别对合格的轧材取样几段。截取样件时，应记录和保存其样件轧制时所对应的时间和测量值。对样件分别编号并用测量器具进行手工测量。</w:t>
      </w:r>
    </w:p>
    <w:p>
      <w:pPr>
        <w:spacing w:line="360" w:lineRule="auto"/>
        <w:ind w:firstLine="480"/>
        <w:rPr>
          <w:rFonts w:ascii="仿宋_GB2312" w:eastAsia="仿宋_GB2312"/>
        </w:rPr>
      </w:pPr>
      <w:r>
        <w:rPr>
          <w:rFonts w:hint="eastAsia" w:ascii="仿宋_GB2312" w:eastAsia="仿宋_GB2312"/>
        </w:rPr>
        <w:t>将样件测量的数据与测径仪记录数据进行比照，反复校验，当比照测量的数据在规定的精度范围内时，动态调试完毕。</w:t>
      </w:r>
    </w:p>
    <w:p>
      <w:pPr>
        <w:spacing w:line="360" w:lineRule="auto"/>
        <w:ind w:firstLine="480"/>
        <w:rPr>
          <w:rFonts w:ascii="仿宋_GB2312" w:eastAsia="仿宋_GB2312"/>
        </w:rPr>
      </w:pPr>
      <w:r>
        <w:rPr>
          <w:rFonts w:hint="eastAsia" w:ascii="仿宋_GB2312" w:eastAsia="仿宋_GB2312"/>
        </w:rPr>
        <w:t>其中轧材的热膨胀系数直接影响测量精度，需要用户提供。</w:t>
      </w:r>
    </w:p>
    <w:p>
      <w:pPr>
        <w:pStyle w:val="3"/>
      </w:pPr>
      <w:bookmarkStart w:id="158" w:name="_Toc5820"/>
      <w:bookmarkStart w:id="159" w:name="_Toc30942"/>
      <w:bookmarkStart w:id="160" w:name="_Toc22326"/>
      <w:bookmarkStart w:id="161" w:name="_Toc497307467"/>
      <w:bookmarkStart w:id="162" w:name="_Toc29645"/>
      <w:bookmarkStart w:id="163" w:name="_Toc5863"/>
      <w:r>
        <w:rPr>
          <w:rFonts w:hint="eastAsia"/>
        </w:rPr>
        <w:t>3.6报警</w:t>
      </w:r>
      <w:bookmarkEnd w:id="158"/>
      <w:bookmarkEnd w:id="159"/>
      <w:bookmarkEnd w:id="160"/>
      <w:bookmarkEnd w:id="161"/>
      <w:bookmarkEnd w:id="162"/>
      <w:bookmarkEnd w:id="163"/>
    </w:p>
    <w:p>
      <w:pPr>
        <w:spacing w:line="360" w:lineRule="auto"/>
        <w:ind w:firstLine="480"/>
        <w:rPr>
          <w:rFonts w:ascii="仿宋_GB2312" w:eastAsia="仿宋_GB2312"/>
        </w:rPr>
      </w:pPr>
      <w:r>
        <w:rPr>
          <w:rFonts w:hint="eastAsia" w:ascii="仿宋_GB2312" w:eastAsia="仿宋_GB2312"/>
        </w:rPr>
        <w:t>超差报警：当测量数据超出设定阈值时主界面及LED显示屏上超差字符会变为红色。另外，超差指示红灯亮同时蜂鸣器声音报警。当设备出现超差报警后蜂鸣器将持续报警，以便提醒操作人员对轧线进行检查和处理；如偶尔超差后数据恢复正常不需检查轧线情况，可在软件界面将超差报警关闭后再重新打开。</w:t>
      </w:r>
    </w:p>
    <w:p>
      <w:pPr>
        <w:spacing w:line="360" w:lineRule="auto"/>
        <w:ind w:firstLine="480"/>
        <w:rPr>
          <w:rFonts w:ascii="仿宋_GB2312" w:eastAsia="仿宋_GB2312"/>
        </w:rPr>
      </w:pPr>
      <w:r>
        <w:rPr>
          <w:rFonts w:hint="eastAsia" w:ascii="仿宋_GB2312" w:eastAsia="仿宋_GB2312"/>
        </w:rPr>
        <w:t>超温报警：当测量车内温度高于设定值（</w:t>
      </w:r>
      <w:r>
        <w:rPr>
          <w:rFonts w:eastAsia="仿宋_GB2312"/>
        </w:rPr>
        <w:t>50℃</w:t>
      </w:r>
      <w:r>
        <w:rPr>
          <w:rFonts w:hint="eastAsia" w:ascii="仿宋_GB2312" w:eastAsia="仿宋_GB2312"/>
        </w:rPr>
        <w:t>）时，超温指示红灯亮同时报警灯闪烁报警。</w:t>
      </w: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pStyle w:val="2"/>
        <w:jc w:val="left"/>
      </w:pPr>
      <w:bookmarkStart w:id="164" w:name="_Toc534289201"/>
      <w:bookmarkStart w:id="165" w:name="_Toc25503"/>
      <w:bookmarkStart w:id="166" w:name="_Toc32541"/>
      <w:bookmarkStart w:id="167" w:name="_Toc3542"/>
      <w:bookmarkStart w:id="168" w:name="_Toc7415"/>
      <w:bookmarkStart w:id="169" w:name="_Toc21559"/>
      <w:bookmarkStart w:id="170" w:name="_Toc497307483"/>
      <w:bookmarkStart w:id="171" w:name="_Toc20044"/>
      <w:r>
        <w:rPr>
          <w:rFonts w:hint="eastAsia"/>
        </w:rPr>
        <w:t>4.</w:t>
      </w:r>
      <w:bookmarkEnd w:id="164"/>
      <w:bookmarkEnd w:id="165"/>
      <w:r>
        <w:rPr>
          <w:rFonts w:hint="eastAsia"/>
        </w:rPr>
        <w:t>圆钢操作说明</w:t>
      </w:r>
      <w:bookmarkEnd w:id="166"/>
    </w:p>
    <w:p>
      <w:pPr>
        <w:pStyle w:val="3"/>
      </w:pPr>
      <w:bookmarkStart w:id="172" w:name="_Toc22121"/>
      <w:r>
        <w:rPr>
          <w:rFonts w:hint="eastAsia"/>
          <w:lang w:val="en-US" w:eastAsia="zh-CN"/>
        </w:rPr>
        <w:t>4.1</w:t>
      </w:r>
      <w:r>
        <w:rPr>
          <w:rFonts w:hint="eastAsia"/>
        </w:rPr>
        <w:t>程序</w:t>
      </w:r>
      <w:r>
        <w:rPr>
          <w:rFonts w:hint="eastAsia"/>
          <w:lang w:eastAsia="zh-CN"/>
        </w:rPr>
        <w:t>启动</w:t>
      </w:r>
      <w:bookmarkEnd w:id="172"/>
    </w:p>
    <w:p>
      <w:pPr>
        <w:ind w:firstLine="0" w:firstLineChars="0"/>
        <w:rPr>
          <w:rFonts w:hint="eastAsia"/>
        </w:rPr>
      </w:pPr>
      <w:r>
        <w:rPr>
          <w:rFonts w:hint="eastAsia"/>
        </w:rPr>
        <w:t>双机程序图标</w:t>
      </w:r>
    </w:p>
    <w:p>
      <w:pPr>
        <w:ind w:firstLine="0" w:firstLineChars="0"/>
        <w:jc w:val="center"/>
      </w:pPr>
      <w:r>
        <w:drawing>
          <wp:inline distT="0" distB="0" distL="114300" distR="114300">
            <wp:extent cx="800100" cy="6858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6"/>
                    <a:stretch>
                      <a:fillRect/>
                    </a:stretch>
                  </pic:blipFill>
                  <pic:spPr>
                    <a:xfrm>
                      <a:off x="0" y="0"/>
                      <a:ext cx="800100" cy="685800"/>
                    </a:xfrm>
                    <a:prstGeom prst="rect">
                      <a:avLst/>
                    </a:prstGeom>
                    <a:noFill/>
                    <a:ln w="9525">
                      <a:noFill/>
                    </a:ln>
                  </pic:spPr>
                </pic:pic>
              </a:graphicData>
            </a:graphic>
          </wp:inline>
        </w:drawing>
      </w:r>
    </w:p>
    <w:p>
      <w:pPr>
        <w:ind w:firstLine="0" w:firstLineChars="0"/>
      </w:pPr>
      <w:r>
        <w:rPr>
          <w:rFonts w:hint="eastAsia"/>
        </w:rPr>
        <w:t>启动后</w:t>
      </w:r>
      <w:r>
        <w:t>的页面如下：</w:t>
      </w:r>
    </w:p>
    <w:p>
      <w:pPr>
        <w:ind w:firstLine="0" w:firstLineChars="0"/>
        <w:rPr>
          <w:rFonts w:hint="eastAsia"/>
        </w:rPr>
      </w:pPr>
      <w:r>
        <w:drawing>
          <wp:inline distT="0" distB="0" distL="114300" distR="114300">
            <wp:extent cx="4196080" cy="2254250"/>
            <wp:effectExtent l="0" t="0" r="13970" b="1270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7"/>
                    <a:srcRect t="1396" b="3000"/>
                    <a:stretch>
                      <a:fillRect/>
                    </a:stretch>
                  </pic:blipFill>
                  <pic:spPr>
                    <a:xfrm>
                      <a:off x="0" y="0"/>
                      <a:ext cx="4196080" cy="2254250"/>
                    </a:xfrm>
                    <a:prstGeom prst="rect">
                      <a:avLst/>
                    </a:prstGeom>
                    <a:noFill/>
                    <a:ln w="9525">
                      <a:noFill/>
                    </a:ln>
                  </pic:spPr>
                </pic:pic>
              </a:graphicData>
            </a:graphic>
          </wp:inline>
        </w:drawing>
      </w:r>
    </w:p>
    <w:p>
      <w:pPr>
        <w:ind w:firstLine="0" w:firstLineChars="0"/>
        <w:jc w:val="center"/>
        <w:rPr>
          <w:rFonts w:ascii="黑体" w:hAnsi="黑体" w:eastAsia="黑体"/>
          <w:sz w:val="21"/>
          <w:szCs w:val="21"/>
        </w:rPr>
      </w:pPr>
      <w:r>
        <w:rPr>
          <w:rFonts w:ascii="黑体" w:hAnsi="黑体" w:eastAsia="黑体"/>
          <w:sz w:val="21"/>
          <w:szCs w:val="21"/>
        </w:rPr>
        <w:br w:type="page"/>
      </w:r>
    </w:p>
    <w:p>
      <w:pPr>
        <w:pStyle w:val="3"/>
      </w:pPr>
      <w:bookmarkStart w:id="173" w:name="_Toc534289204"/>
      <w:bookmarkStart w:id="174" w:name="_Toc13596"/>
      <w:r>
        <w:rPr>
          <w:rFonts w:hint="eastAsia"/>
          <w:lang w:val="en-US" w:eastAsia="zh-CN"/>
        </w:rPr>
        <w:t>4.2</w:t>
      </w:r>
      <w:r>
        <w:rPr>
          <w:rFonts w:hint="eastAsia"/>
        </w:rPr>
        <w:t>产品型号配置</w:t>
      </w:r>
      <w:bookmarkEnd w:id="173"/>
      <w:bookmarkEnd w:id="174"/>
    </w:p>
    <w:p>
      <w:pPr>
        <w:ind w:firstLine="0" w:firstLineChars="0"/>
      </w:pPr>
      <w:r>
        <w:rPr>
          <w:rFonts w:hint="eastAsia"/>
        </w:rPr>
        <w:t>（1）点击菜单“产品参数”按钮，在下拉菜单中选择“产品型号配置”选项。</w:t>
      </w:r>
    </w:p>
    <w:p>
      <w:pPr>
        <w:ind w:firstLine="0" w:firstLineChars="0"/>
        <w:jc w:val="center"/>
        <w:rPr>
          <w:rFonts w:hint="eastAsia"/>
        </w:rPr>
      </w:pPr>
      <w:r>
        <w:drawing>
          <wp:inline distT="0" distB="0" distL="114300" distR="114300">
            <wp:extent cx="1060450" cy="1059815"/>
            <wp:effectExtent l="0" t="0" r="635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8"/>
                    <a:srcRect l="28864" t="1393" r="59308" b="77754"/>
                    <a:stretch>
                      <a:fillRect/>
                    </a:stretch>
                  </pic:blipFill>
                  <pic:spPr>
                    <a:xfrm>
                      <a:off x="0" y="0"/>
                      <a:ext cx="1060450" cy="1059815"/>
                    </a:xfrm>
                    <a:prstGeom prst="rect">
                      <a:avLst/>
                    </a:prstGeom>
                    <a:noFill/>
                    <a:ln w="9525">
                      <a:noFill/>
                    </a:ln>
                  </pic:spPr>
                </pic:pic>
              </a:graphicData>
            </a:graphic>
          </wp:inline>
        </w:drawing>
      </w:r>
    </w:p>
    <w:p>
      <w:pPr>
        <w:pStyle w:val="31"/>
        <w:ind w:left="0" w:leftChars="0" w:firstLine="0" w:firstLineChars="0"/>
      </w:pPr>
      <w:r>
        <w:rPr>
          <w:rFonts w:hint="eastAsia"/>
        </w:rPr>
        <w:t>（2</w:t>
      </w:r>
      <w:r>
        <w:t>）</w:t>
      </w:r>
      <w:r>
        <w:rPr>
          <w:rFonts w:hint="eastAsia"/>
        </w:rPr>
        <w:t>单击“产品型号配置”出现产品型号配置界面。</w:t>
      </w:r>
    </w:p>
    <w:p>
      <w:pPr>
        <w:pStyle w:val="31"/>
        <w:ind w:left="420" w:firstLine="0" w:firstLineChars="0"/>
        <w:jc w:val="center"/>
        <w:rPr>
          <w:rFonts w:hint="eastAsia"/>
        </w:rPr>
      </w:pPr>
      <w:r>
        <w:drawing>
          <wp:inline distT="0" distB="0" distL="114300" distR="114300">
            <wp:extent cx="3646805" cy="1724660"/>
            <wp:effectExtent l="0" t="0" r="10795" b="889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tretch>
                      <a:fillRect/>
                    </a:stretch>
                  </pic:blipFill>
                  <pic:spPr>
                    <a:xfrm>
                      <a:off x="0" y="0"/>
                      <a:ext cx="3646805" cy="1724660"/>
                    </a:xfrm>
                    <a:prstGeom prst="rect">
                      <a:avLst/>
                    </a:prstGeom>
                    <a:noFill/>
                    <a:ln w="9525">
                      <a:noFill/>
                    </a:ln>
                  </pic:spPr>
                </pic:pic>
              </a:graphicData>
            </a:graphic>
          </wp:inline>
        </w:drawing>
      </w:r>
    </w:p>
    <w:p>
      <w:pPr>
        <w:pStyle w:val="31"/>
        <w:ind w:left="0" w:leftChars="0" w:firstLine="0" w:firstLineChars="0"/>
      </w:pPr>
      <w:r>
        <w:rPr>
          <w:rFonts w:hint="eastAsia"/>
        </w:rPr>
        <w:t>（3</w:t>
      </w:r>
      <w:r>
        <w:t>）</w:t>
      </w:r>
      <w:r>
        <w:rPr>
          <w:rFonts w:hint="eastAsia"/>
        </w:rPr>
        <w:t>点击左下角“+添加”按钮，弹出“产品型号配置”。 首先</w:t>
      </w:r>
      <w:r>
        <w:t>要选择</w:t>
      </w:r>
      <w:r>
        <w:rPr>
          <w:rFonts w:hint="eastAsia"/>
        </w:rPr>
        <w:t>“截面</w:t>
      </w:r>
      <w:r>
        <w:t>类型</w:t>
      </w:r>
      <w:r>
        <w:rPr>
          <w:rFonts w:hint="eastAsia"/>
        </w:rPr>
        <w:t>”，</w:t>
      </w:r>
      <w:r>
        <w:t>如下</w:t>
      </w:r>
      <w:r>
        <w:rPr>
          <w:rFonts w:hint="eastAsia"/>
        </w:rPr>
        <w:t>图</w:t>
      </w:r>
      <w:r>
        <w:t>。</w:t>
      </w:r>
    </w:p>
    <w:p>
      <w:pPr>
        <w:pStyle w:val="31"/>
        <w:ind w:left="420" w:firstLine="0" w:firstLineChars="0"/>
        <w:jc w:val="center"/>
      </w:pPr>
      <w:r>
        <w:drawing>
          <wp:inline distT="0" distB="0" distL="114300" distR="114300">
            <wp:extent cx="4042410" cy="3427095"/>
            <wp:effectExtent l="0" t="0" r="15240" b="19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4042410" cy="3427095"/>
                    </a:xfrm>
                    <a:prstGeom prst="rect">
                      <a:avLst/>
                    </a:prstGeom>
                    <a:noFill/>
                    <a:ln w="9525">
                      <a:noFill/>
                    </a:ln>
                  </pic:spPr>
                </pic:pic>
              </a:graphicData>
            </a:graphic>
          </wp:inline>
        </w:drawing>
      </w:r>
    </w:p>
    <w:p>
      <w:pPr>
        <w:pStyle w:val="31"/>
        <w:ind w:left="420" w:firstLine="0" w:firstLineChars="0"/>
      </w:pPr>
      <w:r>
        <w:rPr>
          <w:rFonts w:hint="eastAsia"/>
        </w:rPr>
        <w:t>这里</w:t>
      </w:r>
      <w:r>
        <w:t>选择“</w:t>
      </w:r>
      <w:r>
        <w:rPr>
          <w:rFonts w:hint="eastAsia"/>
        </w:rPr>
        <w:t>圆钢</w:t>
      </w:r>
      <w:r>
        <w:t>”</w:t>
      </w:r>
      <w:r>
        <w:rPr>
          <w:rFonts w:hint="eastAsia"/>
        </w:rPr>
        <w:t>。</w:t>
      </w:r>
      <w:r>
        <w:t xml:space="preserve"> </w:t>
      </w:r>
    </w:p>
    <w:p>
      <w:pPr>
        <w:ind w:left="0" w:leftChars="0" w:firstLine="0" w:firstLineChars="0"/>
      </w:pPr>
      <w:r>
        <w:rPr>
          <w:rFonts w:hint="eastAsia"/>
        </w:rPr>
        <w:t>（4</w:t>
      </w:r>
      <w:r>
        <w:t>）</w:t>
      </w:r>
      <w:r>
        <w:rPr>
          <w:rFonts w:hint="eastAsia"/>
        </w:rPr>
        <w:t>举例说明</w:t>
      </w:r>
      <w:r>
        <w:t>，</w:t>
      </w:r>
      <w:r>
        <w:rPr>
          <w:rFonts w:hint="eastAsia"/>
        </w:rPr>
        <w:t>如需要</w:t>
      </w:r>
      <w:r>
        <w:t>增加一个产品型号为“D20”</w:t>
      </w:r>
      <w:r>
        <w:rPr>
          <w:rFonts w:hint="eastAsia"/>
        </w:rPr>
        <w:t>的圆钢</w:t>
      </w:r>
      <w:r>
        <w:t>钢钢种，其规格如下</w:t>
      </w:r>
      <w:r>
        <w:rPr>
          <w:rFonts w:hint="eastAsia"/>
        </w:rPr>
        <w:t>：</w:t>
      </w:r>
    </w:p>
    <w:p>
      <w:pPr>
        <w:ind w:firstLine="480"/>
      </w:pPr>
      <w:r>
        <w:rPr>
          <w:rFonts w:hint="eastAsia"/>
        </w:rPr>
        <w:t>直径</w:t>
      </w:r>
      <w:r>
        <w:t>标称值：</w:t>
      </w:r>
      <w:r>
        <w:rPr>
          <w:rFonts w:hint="eastAsia"/>
        </w:rPr>
        <w:t>20</w:t>
      </w:r>
      <w:r>
        <w:t>.0mm(</w:t>
      </w:r>
      <w:r>
        <w:rPr>
          <w:rFonts w:hint="eastAsia"/>
        </w:rPr>
        <w:t>以下</w:t>
      </w:r>
      <w:r>
        <w:t>不做特殊说明，</w:t>
      </w:r>
      <w:r>
        <w:rPr>
          <w:rFonts w:hint="eastAsia"/>
        </w:rPr>
        <w:t>所有</w:t>
      </w:r>
      <w:r>
        <w:t>单位默认为</w:t>
      </w:r>
      <w:r>
        <w:rPr>
          <w:rFonts w:hint="eastAsia"/>
        </w:rPr>
        <w:t>mm</w:t>
      </w:r>
      <w:r>
        <w:t>)</w:t>
      </w:r>
      <w:r>
        <w:rPr>
          <w:rFonts w:hint="eastAsia"/>
        </w:rPr>
        <w:t>，</w:t>
      </w:r>
      <w:r>
        <w:t>合格范围在</w:t>
      </w:r>
      <w:r>
        <w:rPr>
          <w:rFonts w:hint="eastAsia"/>
        </w:rPr>
        <w:t>19.9</w:t>
      </w:r>
      <w:r>
        <w:t xml:space="preserve">~20.2 </w:t>
      </w:r>
      <w:r>
        <w:rPr>
          <w:rFonts w:hint="eastAsia"/>
        </w:rPr>
        <w:t>。</w:t>
      </w:r>
    </w:p>
    <w:p>
      <w:pPr>
        <w:ind w:firstLine="480"/>
      </w:pPr>
      <w:r>
        <w:rPr>
          <w:rFonts w:hint="eastAsia"/>
        </w:rPr>
        <w:t>椭圆度</w:t>
      </w:r>
      <w:r>
        <w:t>标称值0</w:t>
      </w:r>
      <w:r>
        <w:rPr>
          <w:rFonts w:hint="eastAsia"/>
        </w:rPr>
        <w:t>.</w:t>
      </w:r>
      <w:r>
        <w:t>05</w:t>
      </w:r>
      <w:r>
        <w:rPr>
          <w:rFonts w:hint="eastAsia"/>
        </w:rPr>
        <w:t>，</w:t>
      </w:r>
      <w:r>
        <w:t>合格范围0~0.05</w:t>
      </w:r>
      <w:r>
        <w:rPr>
          <w:rFonts w:hint="eastAsia"/>
        </w:rPr>
        <w:t>。</w:t>
      </w:r>
    </w:p>
    <w:p>
      <w:pPr>
        <w:ind w:firstLine="480"/>
        <w:rPr>
          <w:rFonts w:hint="eastAsia"/>
        </w:rPr>
      </w:pPr>
      <w:r>
        <w:rPr>
          <w:rFonts w:hint="eastAsia"/>
        </w:rPr>
        <w:t>钢种为</w:t>
      </w:r>
      <w:r>
        <w:t>“steel”</w:t>
      </w:r>
      <w:r>
        <w:rPr>
          <w:rFonts w:hint="eastAsia"/>
        </w:rPr>
        <w:t>，批号</w:t>
      </w:r>
      <w:r>
        <w:t>为“1”</w:t>
      </w:r>
      <w:r>
        <w:rPr>
          <w:rFonts w:hint="eastAsia"/>
        </w:rPr>
        <w:t>。</w:t>
      </w:r>
    </w:p>
    <w:p>
      <w:pPr>
        <w:ind w:firstLine="480"/>
        <w:rPr>
          <w:rFonts w:hint="eastAsia"/>
        </w:rPr>
      </w:pPr>
    </w:p>
    <w:p>
      <w:pPr>
        <w:ind w:left="360" w:firstLine="0" w:firstLineChars="0"/>
        <w:rPr>
          <w:rFonts w:ascii="宋体" w:hAnsi="黑体"/>
          <w:szCs w:val="21"/>
        </w:rPr>
      </w:pPr>
      <w:r>
        <w:rPr>
          <w:rFonts w:hint="eastAsia" w:ascii="宋体" w:hAnsi="黑体"/>
          <w:szCs w:val="21"/>
        </w:rPr>
        <w:t>具体</w:t>
      </w:r>
      <w:r>
        <w:rPr>
          <w:rFonts w:ascii="宋体" w:hAnsi="黑体"/>
          <w:szCs w:val="21"/>
        </w:rPr>
        <w:t>操作如下</w:t>
      </w:r>
    </w:p>
    <w:p>
      <w:pPr>
        <w:numPr>
          <w:ilvl w:val="0"/>
          <w:numId w:val="1"/>
        </w:numPr>
        <w:ind w:firstLineChars="0"/>
        <w:rPr>
          <w:rFonts w:ascii="宋体" w:hAnsi="黑体"/>
          <w:szCs w:val="21"/>
        </w:rPr>
      </w:pPr>
      <w:r>
        <w:rPr>
          <w:rFonts w:hint="eastAsia" w:ascii="宋体" w:hAnsi="黑体"/>
          <w:szCs w:val="21"/>
        </w:rPr>
        <w:t>截面类型</w:t>
      </w:r>
      <w:r>
        <w:rPr>
          <w:rFonts w:ascii="宋体" w:hAnsi="黑体"/>
          <w:szCs w:val="21"/>
        </w:rPr>
        <w:t>选择“</w:t>
      </w:r>
      <w:r>
        <w:rPr>
          <w:rFonts w:hint="eastAsia" w:ascii="宋体" w:hAnsi="黑体"/>
          <w:szCs w:val="21"/>
        </w:rPr>
        <w:t>圆钢</w:t>
      </w:r>
      <w:r>
        <w:rPr>
          <w:rFonts w:ascii="宋体" w:hAnsi="黑体"/>
          <w:szCs w:val="21"/>
        </w:rPr>
        <w:t>”</w:t>
      </w:r>
    </w:p>
    <w:p>
      <w:pPr>
        <w:numPr>
          <w:ilvl w:val="0"/>
          <w:numId w:val="1"/>
        </w:numPr>
        <w:ind w:firstLineChars="0"/>
        <w:rPr>
          <w:rFonts w:ascii="宋体" w:hAnsi="黑体"/>
          <w:szCs w:val="21"/>
        </w:rPr>
      </w:pPr>
      <w:r>
        <w:rPr>
          <w:rFonts w:hint="eastAsia" w:ascii="宋体" w:hAnsi="黑体"/>
          <w:szCs w:val="21"/>
        </w:rPr>
        <w:t>在“类型</w:t>
      </w:r>
      <w:r>
        <w:rPr>
          <w:rFonts w:ascii="宋体" w:hAnsi="黑体"/>
          <w:szCs w:val="21"/>
        </w:rPr>
        <w:t>名称</w:t>
      </w:r>
      <w:r>
        <w:rPr>
          <w:rFonts w:hint="eastAsia" w:ascii="宋体" w:hAnsi="黑体"/>
          <w:szCs w:val="21"/>
        </w:rPr>
        <w:t>”中输入测量钢种的名称代号，如“</w:t>
      </w:r>
      <w:r>
        <w:rPr>
          <w:rFonts w:ascii="宋体" w:hAnsi="黑体"/>
          <w:szCs w:val="21"/>
        </w:rPr>
        <w:t>D20</w:t>
      </w:r>
      <w:r>
        <w:rPr>
          <w:rFonts w:hint="eastAsia" w:ascii="宋体" w:hAnsi="黑体"/>
          <w:szCs w:val="21"/>
        </w:rPr>
        <w:t>”</w:t>
      </w:r>
    </w:p>
    <w:p>
      <w:pPr>
        <w:numPr>
          <w:ilvl w:val="0"/>
          <w:numId w:val="1"/>
        </w:numPr>
        <w:ind w:firstLineChars="0"/>
        <w:rPr>
          <w:rFonts w:ascii="宋体" w:hAnsi="黑体"/>
          <w:szCs w:val="21"/>
        </w:rPr>
      </w:pPr>
      <w:r>
        <w:rPr>
          <w:rFonts w:hint="eastAsia" w:ascii="宋体" w:hAnsi="黑体"/>
          <w:szCs w:val="21"/>
        </w:rPr>
        <w:t>在参数类别“直径</w:t>
      </w:r>
      <w:r>
        <w:rPr>
          <w:rFonts w:ascii="宋体" w:hAnsi="黑体"/>
          <w:szCs w:val="21"/>
        </w:rPr>
        <w:t>.</w:t>
      </w:r>
      <w:r>
        <w:rPr>
          <w:rFonts w:hint="eastAsia" w:ascii="宋体" w:hAnsi="黑体"/>
          <w:szCs w:val="21"/>
        </w:rPr>
        <w:t>标称值”中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20.0；</w:t>
      </w:r>
    </w:p>
    <w:p>
      <w:pPr>
        <w:ind w:firstLine="439" w:firstLineChars="183"/>
        <w:rPr>
          <w:rFonts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“直径</w:t>
      </w:r>
      <w:r>
        <w:rPr>
          <w:rFonts w:ascii="宋体" w:hAnsi="黑体"/>
          <w:szCs w:val="21"/>
        </w:rPr>
        <w:t>.</w:t>
      </w:r>
      <w:r>
        <w:rPr>
          <w:rFonts w:hint="eastAsia" w:ascii="宋体" w:hAnsi="黑体"/>
          <w:szCs w:val="21"/>
        </w:rPr>
        <w:t>正公差”中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0.</w:t>
      </w:r>
      <w:r>
        <w:rPr>
          <w:rFonts w:ascii="宋体" w:hAnsi="黑体"/>
          <w:szCs w:val="21"/>
        </w:rPr>
        <w:t>2</w:t>
      </w:r>
      <w:r>
        <w:rPr>
          <w:rFonts w:hint="eastAsia" w:ascii="宋体" w:hAnsi="黑体"/>
          <w:szCs w:val="21"/>
        </w:rPr>
        <w:t>；</w:t>
      </w:r>
    </w:p>
    <w:p>
      <w:pPr>
        <w:ind w:firstLine="199" w:firstLineChars="83"/>
        <w:rPr>
          <w:rFonts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“直径</w:t>
      </w:r>
      <w:r>
        <w:rPr>
          <w:rFonts w:ascii="宋体" w:hAnsi="黑体"/>
          <w:szCs w:val="21"/>
        </w:rPr>
        <w:t>.</w:t>
      </w:r>
      <w:r>
        <w:rPr>
          <w:rFonts w:hint="eastAsia" w:ascii="宋体" w:hAnsi="黑体"/>
          <w:szCs w:val="21"/>
        </w:rPr>
        <w:t>负公差”中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0.</w:t>
      </w:r>
      <w:r>
        <w:rPr>
          <w:rFonts w:ascii="宋体" w:hAnsi="黑体"/>
          <w:szCs w:val="21"/>
        </w:rPr>
        <w:t>1</w:t>
      </w:r>
      <w:r>
        <w:rPr>
          <w:rFonts w:hint="eastAsia" w:ascii="宋体" w:hAnsi="黑体"/>
          <w:szCs w:val="21"/>
        </w:rPr>
        <w:t>。</w:t>
      </w:r>
    </w:p>
    <w:p>
      <w:pPr>
        <w:ind w:firstLine="175" w:firstLineChars="83"/>
        <w:rPr>
          <w:rFonts w:ascii="宋体" w:hAnsi="黑体"/>
          <w:b/>
          <w:szCs w:val="21"/>
        </w:rPr>
      </w:pPr>
      <w:r>
        <w:rPr>
          <w:rFonts w:hint="eastAsia" w:ascii="宋体" w:hAnsi="黑体"/>
          <w:b/>
          <w:sz w:val="21"/>
          <w:szCs w:val="21"/>
        </w:rPr>
        <w:t>如图所示</w:t>
      </w:r>
      <w:r>
        <w:rPr>
          <w:rFonts w:ascii="宋体" w:hAnsi="黑体"/>
          <w:b/>
          <w:sz w:val="21"/>
          <w:szCs w:val="21"/>
        </w:rPr>
        <w:t>：</w:t>
      </w:r>
    </w:p>
    <w:p>
      <w:pPr>
        <w:ind w:left="360" w:firstLine="0" w:firstLineChars="0"/>
        <w:jc w:val="both"/>
        <w:rPr>
          <w:rFonts w:ascii="宋体" w:hAnsi="黑体"/>
          <w:szCs w:val="21"/>
        </w:rPr>
      </w:pPr>
      <w:r>
        <w:rPr>
          <w:rFonts w:ascii="宋体" w:hAnsi="黑体"/>
          <w:szCs w:val="21"/>
        </w:rPr>
        <w:drawing>
          <wp:inline distT="0" distB="0" distL="114300" distR="114300">
            <wp:extent cx="4206240" cy="998220"/>
            <wp:effectExtent l="0" t="0" r="3810" b="1143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1"/>
                    <a:stretch>
                      <a:fillRect/>
                    </a:stretch>
                  </pic:blipFill>
                  <pic:spPr>
                    <a:xfrm>
                      <a:off x="0" y="0"/>
                      <a:ext cx="4206240" cy="998220"/>
                    </a:xfrm>
                    <a:prstGeom prst="rect">
                      <a:avLst/>
                    </a:prstGeom>
                    <a:noFill/>
                    <a:ln w="9525">
                      <a:noFill/>
                    </a:ln>
                  </pic:spPr>
                </pic:pic>
              </a:graphicData>
            </a:graphic>
          </wp:inline>
        </w:drawing>
      </w:r>
    </w:p>
    <w:p>
      <w:pPr>
        <w:ind w:left="360" w:firstLine="0" w:firstLineChars="0"/>
        <w:rPr>
          <w:rFonts w:ascii="黑体" w:hAnsi="黑体" w:eastAsia="黑体"/>
          <w:b/>
          <w:i/>
          <w:color w:val="FF0000"/>
          <w:sz w:val="21"/>
          <w:szCs w:val="21"/>
        </w:rPr>
      </w:pPr>
      <w:r>
        <w:rPr>
          <w:rFonts w:hint="eastAsia" w:ascii="黑体" w:hAnsi="黑体" w:eastAsia="黑体"/>
          <w:b/>
          <w:i/>
          <w:sz w:val="21"/>
          <w:szCs w:val="21"/>
        </w:rPr>
        <w:t>注：</w:t>
      </w:r>
      <w:r>
        <w:rPr>
          <w:rFonts w:ascii="黑体" w:hAnsi="黑体" w:eastAsia="黑体"/>
          <w:b/>
          <w:i/>
          <w:sz w:val="21"/>
          <w:szCs w:val="21"/>
        </w:rPr>
        <w:tab/>
      </w:r>
      <w:r>
        <w:rPr>
          <w:rFonts w:ascii="黑体" w:hAnsi="黑体" w:eastAsia="黑体"/>
          <w:b/>
          <w:i/>
          <w:color w:val="FF0000"/>
          <w:sz w:val="21"/>
          <w:szCs w:val="21"/>
        </w:rPr>
        <w:t>正负公差</w:t>
      </w:r>
      <w:r>
        <w:rPr>
          <w:rFonts w:hint="eastAsia" w:ascii="黑体" w:hAnsi="黑体" w:eastAsia="黑体"/>
          <w:b/>
          <w:i/>
          <w:color w:val="FF0000"/>
          <w:sz w:val="21"/>
          <w:szCs w:val="21"/>
        </w:rPr>
        <w:t>值都是</w:t>
      </w:r>
      <w:r>
        <w:rPr>
          <w:rFonts w:ascii="黑体" w:hAnsi="黑体" w:eastAsia="黑体"/>
          <w:b/>
          <w:i/>
          <w:color w:val="FF0000"/>
          <w:sz w:val="21"/>
          <w:szCs w:val="21"/>
        </w:rPr>
        <w:t>正数</w:t>
      </w:r>
      <w:r>
        <w:rPr>
          <w:rFonts w:hint="eastAsia" w:ascii="黑体" w:hAnsi="黑体" w:eastAsia="黑体"/>
          <w:b/>
          <w:i/>
          <w:color w:val="FF0000"/>
          <w:sz w:val="21"/>
          <w:szCs w:val="21"/>
        </w:rPr>
        <w:t>。</w:t>
      </w:r>
    </w:p>
    <w:p>
      <w:pPr>
        <w:ind w:left="360" w:firstLine="0" w:firstLineChars="0"/>
        <w:rPr>
          <w:rFonts w:ascii="黑体" w:hAnsi="黑体" w:eastAsia="黑体"/>
          <w:b/>
          <w:i/>
          <w:color w:val="FF0000"/>
          <w:sz w:val="21"/>
          <w:szCs w:val="21"/>
        </w:rPr>
      </w:pPr>
      <w:r>
        <w:rPr>
          <w:rFonts w:hint="eastAsia" w:ascii="黑体" w:hAnsi="黑体" w:eastAsia="黑体"/>
          <w:b/>
          <w:i/>
          <w:color w:val="FF0000"/>
          <w:sz w:val="21"/>
          <w:szCs w:val="21"/>
        </w:rPr>
        <w:t>合格范围</w:t>
      </w:r>
      <w:r>
        <w:rPr>
          <w:rFonts w:ascii="黑体" w:hAnsi="黑体" w:eastAsia="黑体"/>
          <w:b/>
          <w:i/>
          <w:color w:val="FF0000"/>
          <w:sz w:val="21"/>
          <w:szCs w:val="21"/>
        </w:rPr>
        <w:t>内最大值</w:t>
      </w:r>
      <w:r>
        <w:rPr>
          <w:rFonts w:hint="eastAsia" w:ascii="黑体" w:hAnsi="黑体" w:eastAsia="黑体"/>
          <w:b/>
          <w:i/>
          <w:color w:val="FF0000"/>
          <w:sz w:val="21"/>
          <w:szCs w:val="21"/>
        </w:rPr>
        <w:t>是</w:t>
      </w:r>
      <w:r>
        <w:rPr>
          <w:rFonts w:ascii="黑体" w:hAnsi="黑体" w:eastAsia="黑体"/>
          <w:b/>
          <w:i/>
          <w:color w:val="FF0000"/>
          <w:sz w:val="21"/>
          <w:szCs w:val="21"/>
        </w:rPr>
        <w:t>：</w:t>
      </w: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标称值+直径</w:t>
      </w:r>
      <w:r>
        <w:rPr>
          <w:rFonts w:ascii="黑体" w:hAnsi="黑体" w:eastAsia="黑体"/>
          <w:b/>
          <w:i/>
          <w:color w:val="FF0000"/>
          <w:sz w:val="21"/>
          <w:szCs w:val="21"/>
        </w:rPr>
        <w:t>.</w:t>
      </w:r>
      <w:r>
        <w:rPr>
          <w:rFonts w:hint="eastAsia" w:ascii="黑体" w:hAnsi="黑体" w:eastAsia="黑体"/>
          <w:b/>
          <w:i/>
          <w:color w:val="FF0000"/>
          <w:sz w:val="21"/>
          <w:szCs w:val="21"/>
        </w:rPr>
        <w:t>正公差</w:t>
      </w:r>
    </w:p>
    <w:p>
      <w:pPr>
        <w:ind w:left="360" w:firstLine="0" w:firstLineChars="0"/>
        <w:rPr>
          <w:rFonts w:ascii="黑体" w:hAnsi="黑体" w:eastAsia="黑体"/>
          <w:b/>
          <w:i/>
          <w:color w:val="FF0000"/>
          <w:sz w:val="21"/>
          <w:szCs w:val="21"/>
        </w:rPr>
      </w:pPr>
      <w:r>
        <w:rPr>
          <w:rFonts w:hint="eastAsia" w:ascii="黑体" w:hAnsi="黑体" w:eastAsia="黑体"/>
          <w:b/>
          <w:i/>
          <w:color w:val="FF0000"/>
          <w:sz w:val="21"/>
          <w:szCs w:val="21"/>
        </w:rPr>
        <w:t>合格范围</w:t>
      </w:r>
      <w:r>
        <w:rPr>
          <w:rFonts w:ascii="黑体" w:hAnsi="黑体" w:eastAsia="黑体"/>
          <w:b/>
          <w:i/>
          <w:color w:val="FF0000"/>
          <w:sz w:val="21"/>
          <w:szCs w:val="21"/>
        </w:rPr>
        <w:t>内最</w:t>
      </w:r>
      <w:r>
        <w:rPr>
          <w:rFonts w:hint="eastAsia" w:ascii="黑体" w:hAnsi="黑体" w:eastAsia="黑体"/>
          <w:b/>
          <w:i/>
          <w:color w:val="FF0000"/>
          <w:sz w:val="21"/>
          <w:szCs w:val="21"/>
        </w:rPr>
        <w:t>小</w:t>
      </w:r>
      <w:r>
        <w:rPr>
          <w:rFonts w:ascii="黑体" w:hAnsi="黑体" w:eastAsia="黑体"/>
          <w:b/>
          <w:i/>
          <w:color w:val="FF0000"/>
          <w:sz w:val="21"/>
          <w:szCs w:val="21"/>
        </w:rPr>
        <w:t>值</w:t>
      </w:r>
      <w:r>
        <w:rPr>
          <w:rFonts w:hint="eastAsia" w:ascii="黑体" w:hAnsi="黑体" w:eastAsia="黑体"/>
          <w:b/>
          <w:i/>
          <w:color w:val="FF0000"/>
          <w:sz w:val="21"/>
          <w:szCs w:val="21"/>
        </w:rPr>
        <w:t>是</w:t>
      </w:r>
      <w:r>
        <w:rPr>
          <w:rFonts w:ascii="黑体" w:hAnsi="黑体" w:eastAsia="黑体"/>
          <w:b/>
          <w:i/>
          <w:color w:val="FF0000"/>
          <w:sz w:val="21"/>
          <w:szCs w:val="21"/>
        </w:rPr>
        <w:t>：</w:t>
      </w: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标称值</w:t>
      </w:r>
      <w:r>
        <w:rPr>
          <w:rFonts w:ascii="黑体" w:hAnsi="黑体" w:eastAsia="黑体"/>
          <w:b/>
          <w:i/>
          <w:color w:val="FF0000"/>
          <w:sz w:val="21"/>
          <w:szCs w:val="21"/>
        </w:rPr>
        <w:t>-</w:t>
      </w: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负公差</w:t>
      </w:r>
    </w:p>
    <w:p>
      <w:pPr>
        <w:ind w:left="360" w:firstLine="0" w:firstLineChars="0"/>
        <w:rPr>
          <w:rFonts w:ascii="宋体" w:hAnsi="黑体"/>
          <w:b/>
          <w:i/>
          <w:szCs w:val="21"/>
        </w:rPr>
      </w:pP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椭圆度设置</w:t>
      </w:r>
      <w:r>
        <w:rPr>
          <w:rFonts w:ascii="黑体" w:hAnsi="黑体" w:eastAsia="黑体"/>
          <w:b/>
          <w:i/>
          <w:color w:val="FF0000"/>
          <w:sz w:val="21"/>
          <w:szCs w:val="21"/>
        </w:rPr>
        <w:t>方法</w:t>
      </w:r>
      <w:r>
        <w:rPr>
          <w:rFonts w:hint="eastAsia" w:ascii="黑体" w:hAnsi="黑体" w:eastAsia="黑体"/>
          <w:b/>
          <w:i/>
          <w:color w:val="FF0000"/>
          <w:sz w:val="21"/>
          <w:szCs w:val="21"/>
        </w:rPr>
        <w:t>相</w:t>
      </w:r>
      <w:r>
        <w:rPr>
          <w:rFonts w:ascii="黑体" w:hAnsi="黑体" w:eastAsia="黑体"/>
          <w:b/>
          <w:i/>
          <w:color w:val="FF0000"/>
          <w:sz w:val="21"/>
          <w:szCs w:val="21"/>
        </w:rPr>
        <w:t>同。</w:t>
      </w:r>
    </w:p>
    <w:p>
      <w:pPr>
        <w:numPr>
          <w:ilvl w:val="0"/>
          <w:numId w:val="1"/>
        </w:numPr>
        <w:ind w:firstLineChars="0"/>
        <w:rPr>
          <w:rFonts w:ascii="宋体" w:hAnsi="黑体"/>
          <w:szCs w:val="21"/>
        </w:rPr>
      </w:pPr>
      <w:r>
        <w:rPr>
          <w:rFonts w:hint="eastAsia" w:ascii="宋体" w:hAnsi="黑体"/>
          <w:szCs w:val="21"/>
        </w:rPr>
        <w:t>在参数类别“</w:t>
      </w:r>
      <w:r>
        <w:rPr>
          <w:rFonts w:hint="eastAsia"/>
        </w:rPr>
        <w:t>椭圆度</w:t>
      </w:r>
      <w:r>
        <w:rPr>
          <w:rFonts w:ascii="宋体" w:hAnsi="黑体"/>
          <w:szCs w:val="21"/>
        </w:rPr>
        <w:t>.</w:t>
      </w:r>
      <w:r>
        <w:rPr>
          <w:rFonts w:hint="eastAsia" w:ascii="宋体" w:hAnsi="黑体"/>
          <w:szCs w:val="21"/>
        </w:rPr>
        <w:t>标称值”中</w:t>
      </w:r>
      <w:r>
        <w:rPr>
          <w:rFonts w:ascii="宋体" w:hAnsi="黑体"/>
          <w:szCs w:val="21"/>
        </w:rPr>
        <w:t>输入</w:t>
      </w:r>
      <w:r>
        <w:rPr>
          <w:rFonts w:hint="eastAsia" w:ascii="宋体" w:hAnsi="黑体"/>
          <w:szCs w:val="21"/>
        </w:rPr>
        <w:t>参数</w:t>
      </w:r>
      <w:r>
        <w:rPr>
          <w:rFonts w:ascii="宋体" w:hAnsi="黑体"/>
          <w:szCs w:val="21"/>
        </w:rPr>
        <w:t>值0</w:t>
      </w:r>
      <w:r>
        <w:rPr>
          <w:rFonts w:hint="eastAsia" w:ascii="宋体" w:hAnsi="黑体"/>
          <w:szCs w:val="21"/>
        </w:rPr>
        <w:t>.</w:t>
      </w:r>
      <w:r>
        <w:rPr>
          <w:rFonts w:ascii="宋体" w:hAnsi="黑体"/>
          <w:szCs w:val="21"/>
        </w:rPr>
        <w:t>00</w:t>
      </w:r>
      <w:r>
        <w:rPr>
          <w:rFonts w:hint="eastAsia" w:ascii="宋体" w:hAnsi="黑体"/>
          <w:szCs w:val="21"/>
        </w:rPr>
        <w:t>；</w:t>
      </w:r>
    </w:p>
    <w:p>
      <w:pPr>
        <w:ind w:left="360" w:firstLine="0" w:firstLineChars="0"/>
        <w:rPr>
          <w:rFonts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w:t>
      </w:r>
      <w:r>
        <w:rPr>
          <w:rFonts w:hint="eastAsia"/>
        </w:rPr>
        <w:t>椭圆度</w:t>
      </w:r>
      <w:r>
        <w:rPr>
          <w:rFonts w:ascii="宋体" w:hAnsi="黑体"/>
          <w:szCs w:val="21"/>
        </w:rPr>
        <w:t>.</w:t>
      </w:r>
      <w:r>
        <w:rPr>
          <w:rFonts w:hint="eastAsia" w:ascii="宋体" w:hAnsi="黑体"/>
          <w:szCs w:val="21"/>
        </w:rPr>
        <w:t>正公差”中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0.</w:t>
      </w:r>
      <w:r>
        <w:rPr>
          <w:rFonts w:ascii="宋体" w:hAnsi="黑体"/>
          <w:szCs w:val="21"/>
        </w:rPr>
        <w:t>05</w:t>
      </w:r>
      <w:r>
        <w:rPr>
          <w:rFonts w:hint="eastAsia" w:ascii="宋体" w:hAnsi="黑体"/>
          <w:szCs w:val="21"/>
        </w:rPr>
        <w:t>；</w:t>
      </w:r>
    </w:p>
    <w:p>
      <w:pPr>
        <w:ind w:left="360" w:firstLine="0" w:firstLineChars="0"/>
        <w:rPr>
          <w:rFonts w:hint="eastAsia"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w:t>
      </w:r>
      <w:r>
        <w:rPr>
          <w:rFonts w:hint="eastAsia"/>
        </w:rPr>
        <w:t>椭圆度</w:t>
      </w:r>
      <w:r>
        <w:rPr>
          <w:rFonts w:ascii="宋体" w:hAnsi="黑体"/>
          <w:szCs w:val="21"/>
        </w:rPr>
        <w:t>.</w:t>
      </w:r>
      <w:r>
        <w:rPr>
          <w:rFonts w:hint="eastAsia" w:ascii="宋体" w:hAnsi="黑体"/>
          <w:szCs w:val="21"/>
        </w:rPr>
        <w:t>负公差”中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0.</w:t>
      </w:r>
      <w:r>
        <w:rPr>
          <w:rFonts w:ascii="宋体" w:hAnsi="黑体"/>
          <w:szCs w:val="21"/>
        </w:rPr>
        <w:t>0</w:t>
      </w:r>
      <w:r>
        <w:rPr>
          <w:rFonts w:hint="eastAsia" w:ascii="宋体" w:hAnsi="黑体"/>
          <w:szCs w:val="21"/>
        </w:rPr>
        <w:t>。</w:t>
      </w:r>
    </w:p>
    <w:p>
      <w:pPr>
        <w:ind w:firstLine="0" w:firstLineChars="0"/>
        <w:rPr>
          <w:rFonts w:hint="eastAsia" w:ascii="宋体" w:hAnsi="黑体"/>
          <w:b/>
          <w:szCs w:val="24"/>
        </w:rPr>
      </w:pPr>
      <w:r>
        <w:rPr>
          <w:rFonts w:ascii="宋体" w:hAnsi="黑体"/>
          <w:b/>
          <w:szCs w:val="24"/>
        </w:rPr>
        <w:t>如</w:t>
      </w:r>
      <w:r>
        <w:rPr>
          <w:rFonts w:hint="eastAsia" w:ascii="宋体" w:hAnsi="黑体"/>
          <w:b/>
          <w:szCs w:val="24"/>
        </w:rPr>
        <w:t>下</w:t>
      </w:r>
      <w:r>
        <w:rPr>
          <w:rFonts w:ascii="宋体" w:hAnsi="黑体"/>
          <w:b/>
          <w:szCs w:val="24"/>
        </w:rPr>
        <w:t>图所示</w:t>
      </w:r>
      <w:r>
        <w:rPr>
          <w:rFonts w:hint="eastAsia" w:ascii="宋体" w:hAnsi="黑体"/>
          <w:b/>
          <w:szCs w:val="24"/>
        </w:rPr>
        <w:t>：</w:t>
      </w:r>
    </w:p>
    <w:p>
      <w:pPr>
        <w:ind w:firstLine="0" w:firstLineChars="0"/>
        <w:jc w:val="center"/>
        <w:rPr>
          <w:rFonts w:hint="eastAsia" w:ascii="黑体" w:hAnsi="黑体" w:eastAsia="黑体"/>
          <w:sz w:val="21"/>
          <w:szCs w:val="21"/>
        </w:rPr>
      </w:pPr>
      <w:r>
        <w:rPr>
          <w:rFonts w:hint="eastAsia" w:ascii="宋体" w:hAnsi="黑体"/>
          <w:b/>
          <w:szCs w:val="24"/>
        </w:rPr>
        <w:drawing>
          <wp:inline distT="0" distB="0" distL="114300" distR="114300">
            <wp:extent cx="4168775" cy="1425575"/>
            <wp:effectExtent l="0" t="0" r="3175" b="31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2"/>
                    <a:stretch>
                      <a:fillRect/>
                    </a:stretch>
                  </pic:blipFill>
                  <pic:spPr>
                    <a:xfrm>
                      <a:off x="0" y="0"/>
                      <a:ext cx="4168775" cy="1425575"/>
                    </a:xfrm>
                    <a:prstGeom prst="rect">
                      <a:avLst/>
                    </a:prstGeom>
                    <a:noFill/>
                    <a:ln w="9525">
                      <a:noFill/>
                    </a:ln>
                  </pic:spPr>
                </pic:pic>
              </a:graphicData>
            </a:graphic>
          </wp:inline>
        </w:drawing>
      </w:r>
    </w:p>
    <w:p>
      <w:pPr>
        <w:numPr>
          <w:ilvl w:val="0"/>
          <w:numId w:val="1"/>
        </w:numPr>
        <w:ind w:firstLineChars="0"/>
        <w:rPr>
          <w:rFonts w:ascii="宋体" w:hAnsi="黑体"/>
          <w:szCs w:val="21"/>
        </w:rPr>
      </w:pPr>
      <w:r>
        <w:rPr>
          <w:rFonts w:ascii="宋体" w:hAnsi="黑体"/>
          <w:szCs w:val="21"/>
        </w:rPr>
        <w:t>在</w:t>
      </w:r>
      <w:r>
        <w:rPr>
          <w:rFonts w:hint="eastAsia" w:ascii="宋体" w:hAnsi="黑体"/>
          <w:szCs w:val="21"/>
        </w:rPr>
        <w:t>参数</w:t>
      </w:r>
      <w:r>
        <w:rPr>
          <w:rFonts w:ascii="宋体" w:hAnsi="黑体"/>
          <w:szCs w:val="21"/>
        </w:rPr>
        <w:t>类别“</w:t>
      </w:r>
      <w:r>
        <w:rPr>
          <w:rFonts w:hint="eastAsia" w:ascii="宋体" w:hAnsi="黑体"/>
          <w:szCs w:val="21"/>
        </w:rPr>
        <w:t>产品</w:t>
      </w:r>
      <w:r>
        <w:rPr>
          <w:rFonts w:ascii="宋体" w:hAnsi="黑体"/>
          <w:szCs w:val="21"/>
        </w:rPr>
        <w:t>批号”</w:t>
      </w:r>
      <w:r>
        <w:rPr>
          <w:rFonts w:hint="eastAsia" w:ascii="宋体" w:hAnsi="黑体"/>
          <w:szCs w:val="21"/>
        </w:rPr>
        <w:t>输入参数</w:t>
      </w:r>
      <w:r>
        <w:rPr>
          <w:rFonts w:ascii="宋体" w:hAnsi="黑体"/>
          <w:szCs w:val="21"/>
        </w:rPr>
        <w:t>值“1”</w:t>
      </w:r>
      <w:r>
        <w:rPr>
          <w:rFonts w:hint="eastAsia" w:ascii="宋体" w:hAnsi="黑体"/>
          <w:szCs w:val="21"/>
        </w:rPr>
        <w:t>。</w:t>
      </w:r>
    </w:p>
    <w:p>
      <w:pPr>
        <w:numPr>
          <w:ilvl w:val="0"/>
          <w:numId w:val="1"/>
        </w:numPr>
        <w:ind w:firstLineChars="0"/>
        <w:rPr>
          <w:rFonts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“产品</w:t>
      </w:r>
      <w:r>
        <w:rPr>
          <w:rFonts w:ascii="宋体" w:hAnsi="黑体"/>
          <w:szCs w:val="21"/>
        </w:rPr>
        <w:t>钢种</w:t>
      </w:r>
      <w:r>
        <w:rPr>
          <w:rFonts w:hint="eastAsia" w:ascii="宋体" w:hAnsi="黑体"/>
          <w:szCs w:val="21"/>
        </w:rPr>
        <w:t>”输入</w:t>
      </w:r>
      <w:r>
        <w:rPr>
          <w:rFonts w:ascii="宋体" w:hAnsi="黑体"/>
          <w:szCs w:val="21"/>
        </w:rPr>
        <w:t>参数值“steel”.</w:t>
      </w:r>
    </w:p>
    <w:p>
      <w:pPr>
        <w:ind w:left="0" w:leftChars="0" w:firstLine="0" w:firstLineChars="0"/>
        <w:jc w:val="center"/>
        <w:rPr>
          <w:rFonts w:ascii="宋体" w:hAnsi="黑体"/>
          <w:szCs w:val="21"/>
        </w:rPr>
      </w:pPr>
      <w:r>
        <w:rPr>
          <w:rFonts w:ascii="宋体" w:hAnsi="黑体"/>
          <w:szCs w:val="21"/>
        </w:rPr>
        <w:drawing>
          <wp:inline distT="0" distB="0" distL="114300" distR="114300">
            <wp:extent cx="4233545" cy="1835150"/>
            <wp:effectExtent l="0" t="0" r="14605" b="1270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3"/>
                    <a:stretch>
                      <a:fillRect/>
                    </a:stretch>
                  </pic:blipFill>
                  <pic:spPr>
                    <a:xfrm>
                      <a:off x="0" y="0"/>
                      <a:ext cx="4233545" cy="1835150"/>
                    </a:xfrm>
                    <a:prstGeom prst="rect">
                      <a:avLst/>
                    </a:prstGeom>
                    <a:noFill/>
                    <a:ln w="9525">
                      <a:noFill/>
                    </a:ln>
                  </pic:spPr>
                </pic:pic>
              </a:graphicData>
            </a:graphic>
          </wp:inline>
        </w:drawing>
      </w:r>
    </w:p>
    <w:p>
      <w:pPr>
        <w:numPr>
          <w:ilvl w:val="0"/>
          <w:numId w:val="1"/>
        </w:numPr>
        <w:ind w:firstLineChars="0"/>
        <w:rPr>
          <w:rFonts w:ascii="宋体" w:hAnsi="黑体"/>
          <w:szCs w:val="21"/>
        </w:rPr>
      </w:pPr>
      <w:r>
        <w:rPr>
          <w:rFonts w:hint="eastAsia" w:ascii="宋体" w:hAnsi="黑体"/>
          <w:szCs w:val="21"/>
        </w:rPr>
        <w:t>向下拖动</w:t>
      </w:r>
      <w:r>
        <w:rPr>
          <w:rFonts w:ascii="宋体" w:hAnsi="黑体"/>
          <w:szCs w:val="21"/>
        </w:rPr>
        <w:t>滑块</w:t>
      </w:r>
      <w:r>
        <w:rPr>
          <w:rFonts w:hint="eastAsia" w:ascii="宋体" w:hAnsi="黑体"/>
          <w:szCs w:val="21"/>
        </w:rPr>
        <w:t>，在</w:t>
      </w:r>
      <w:r>
        <w:rPr>
          <w:rFonts w:ascii="宋体" w:hAnsi="黑体"/>
          <w:szCs w:val="21"/>
        </w:rPr>
        <w:t>参数类别</w:t>
      </w:r>
      <w:r>
        <w:rPr>
          <w:rFonts w:hint="eastAsia" w:ascii="宋体" w:hAnsi="黑体"/>
          <w:szCs w:val="21"/>
        </w:rPr>
        <w:t>“测量</w:t>
      </w:r>
      <w:r>
        <w:rPr>
          <w:rFonts w:ascii="宋体" w:hAnsi="黑体"/>
          <w:szCs w:val="21"/>
        </w:rPr>
        <w:t>方式</w:t>
      </w:r>
      <w:r>
        <w:rPr>
          <w:rFonts w:hint="eastAsia" w:ascii="宋体" w:hAnsi="黑体"/>
          <w:szCs w:val="21"/>
        </w:rPr>
        <w:t>”输入</w:t>
      </w:r>
      <w:r>
        <w:rPr>
          <w:rFonts w:ascii="宋体" w:hAnsi="黑体"/>
          <w:szCs w:val="21"/>
        </w:rPr>
        <w:t>参数值“d”</w:t>
      </w:r>
      <w:r>
        <w:rPr>
          <w:rFonts w:hint="eastAsia" w:ascii="宋体" w:hAnsi="黑体"/>
          <w:szCs w:val="21"/>
        </w:rPr>
        <w:t>（</w:t>
      </w:r>
      <w:r>
        <w:rPr>
          <w:rFonts w:hint="eastAsia" w:ascii="宋体" w:hAnsi="黑体"/>
          <w:b/>
          <w:color w:val="FF0000"/>
          <w:szCs w:val="21"/>
        </w:rPr>
        <w:t>圆钢小径</w:t>
      </w:r>
      <w:r>
        <w:rPr>
          <w:rFonts w:ascii="宋体" w:hAnsi="黑体"/>
          <w:b/>
          <w:color w:val="FF0000"/>
          <w:szCs w:val="21"/>
        </w:rPr>
        <w:t>测量</w:t>
      </w:r>
      <w:r>
        <w:rPr>
          <w:rFonts w:hint="eastAsia" w:ascii="宋体" w:hAnsi="黑体"/>
          <w:b/>
          <w:color w:val="FF0000"/>
          <w:szCs w:val="21"/>
        </w:rPr>
        <w:t>固定填写为“</w:t>
      </w:r>
      <w:r>
        <w:rPr>
          <w:rFonts w:ascii="宋体" w:hAnsi="黑体"/>
          <w:b/>
          <w:color w:val="FF0000"/>
          <w:szCs w:val="21"/>
        </w:rPr>
        <w:t>d</w:t>
      </w:r>
      <w:r>
        <w:rPr>
          <w:rFonts w:hint="eastAsia" w:ascii="宋体" w:hAnsi="黑体"/>
          <w:b/>
          <w:color w:val="FF0000"/>
          <w:szCs w:val="21"/>
        </w:rPr>
        <w:t>”</w:t>
      </w:r>
      <w:r>
        <w:rPr>
          <w:rFonts w:ascii="宋体" w:hAnsi="黑体"/>
          <w:b/>
          <w:color w:val="FF0000"/>
          <w:szCs w:val="21"/>
        </w:rPr>
        <w:t>,</w:t>
      </w:r>
      <w:r>
        <w:rPr>
          <w:rFonts w:hint="eastAsia" w:ascii="宋体" w:hAnsi="黑体"/>
          <w:szCs w:val="21"/>
        </w:rPr>
        <w:t xml:space="preserve"> </w:t>
      </w:r>
      <w:r>
        <w:rPr>
          <w:rFonts w:hint="eastAsia" w:ascii="宋体" w:hAnsi="黑体"/>
          <w:b/>
          <w:color w:val="FF0000"/>
          <w:szCs w:val="21"/>
        </w:rPr>
        <w:t>圆钢大径</w:t>
      </w:r>
      <w:r>
        <w:rPr>
          <w:rFonts w:ascii="宋体" w:hAnsi="黑体"/>
          <w:b/>
          <w:color w:val="FF0000"/>
          <w:szCs w:val="21"/>
        </w:rPr>
        <w:t>测量</w:t>
      </w:r>
      <w:r>
        <w:rPr>
          <w:rFonts w:hint="eastAsia" w:ascii="宋体" w:hAnsi="黑体"/>
          <w:b/>
          <w:color w:val="FF0000"/>
          <w:szCs w:val="21"/>
        </w:rPr>
        <w:t>固定填写为“</w:t>
      </w:r>
      <w:r>
        <w:rPr>
          <w:rFonts w:ascii="宋体" w:hAnsi="黑体"/>
          <w:b/>
          <w:color w:val="FF0000"/>
          <w:szCs w:val="21"/>
        </w:rPr>
        <w:t>s</w:t>
      </w:r>
      <w:r>
        <w:rPr>
          <w:rFonts w:hint="eastAsia" w:ascii="宋体" w:hAnsi="黑体"/>
          <w:b/>
          <w:color w:val="FF0000"/>
          <w:szCs w:val="21"/>
        </w:rPr>
        <w:t>”</w:t>
      </w:r>
      <w:r>
        <w:rPr>
          <w:rFonts w:ascii="宋体" w:hAnsi="黑体"/>
          <w:b/>
          <w:color w:val="FF0000"/>
          <w:szCs w:val="21"/>
        </w:rPr>
        <w:t>,</w:t>
      </w:r>
      <w:r>
        <w:rPr>
          <w:rFonts w:hint="eastAsia" w:ascii="宋体" w:hAnsi="黑体"/>
          <w:b/>
          <w:color w:val="FF0000"/>
          <w:szCs w:val="21"/>
        </w:rPr>
        <w:t>否则软件无法正常测量。</w:t>
      </w:r>
      <w:r>
        <w:rPr>
          <w:rFonts w:hint="eastAsia" w:ascii="宋体" w:hAnsi="黑体"/>
          <w:szCs w:val="21"/>
        </w:rPr>
        <w:t>）</w:t>
      </w:r>
    </w:p>
    <w:p>
      <w:pPr>
        <w:ind w:left="360" w:firstLine="0" w:firstLineChars="0"/>
        <w:rPr>
          <w:rFonts w:hint="eastAsia" w:ascii="宋体" w:hAnsi="黑体"/>
          <w:szCs w:val="21"/>
        </w:rPr>
      </w:pPr>
      <w:r>
        <w:rPr>
          <w:rFonts w:hint="eastAsia" w:ascii="宋体" w:hAnsi="黑体"/>
          <w:szCs w:val="21"/>
        </w:rPr>
        <w:t>以上为</w:t>
      </w:r>
      <w:r>
        <w:rPr>
          <w:rFonts w:ascii="宋体" w:hAnsi="黑体"/>
          <w:szCs w:val="21"/>
        </w:rPr>
        <w:t>必填参数</w:t>
      </w:r>
      <w:r>
        <w:rPr>
          <w:rFonts w:hint="eastAsia" w:ascii="宋体" w:hAnsi="黑体"/>
          <w:szCs w:val="21"/>
        </w:rPr>
        <w:t>。</w:t>
      </w:r>
      <w:r>
        <w:rPr>
          <w:rFonts w:ascii="宋体" w:hAnsi="黑体"/>
          <w:szCs w:val="21"/>
        </w:rPr>
        <w:t>如果</w:t>
      </w:r>
      <w:r>
        <w:rPr>
          <w:rFonts w:hint="eastAsia" w:ascii="宋体" w:hAnsi="黑体"/>
          <w:szCs w:val="21"/>
        </w:rPr>
        <w:t>需要</w:t>
      </w:r>
      <w:r>
        <w:rPr>
          <w:rFonts w:ascii="宋体" w:hAnsi="黑体"/>
          <w:szCs w:val="21"/>
        </w:rPr>
        <w:t>加入</w:t>
      </w:r>
      <w:r>
        <w:rPr>
          <w:rFonts w:hint="eastAsia" w:ascii="宋体" w:hAnsi="黑体"/>
          <w:szCs w:val="21"/>
        </w:rPr>
        <w:t>可选</w:t>
      </w:r>
      <w:r>
        <w:rPr>
          <w:rFonts w:ascii="宋体" w:hAnsi="黑体"/>
          <w:szCs w:val="21"/>
        </w:rPr>
        <w:t>参数</w:t>
      </w:r>
      <w:r>
        <w:rPr>
          <w:rFonts w:hint="eastAsia" w:ascii="宋体" w:hAnsi="黑体"/>
          <w:szCs w:val="21"/>
        </w:rPr>
        <w:t>，</w:t>
      </w:r>
      <w:r>
        <w:rPr>
          <w:rFonts w:ascii="宋体" w:hAnsi="黑体"/>
          <w:szCs w:val="21"/>
        </w:rPr>
        <w:t>点击</w:t>
      </w:r>
      <w:r>
        <w:rPr>
          <w:rFonts w:hint="eastAsia" w:ascii="宋体" w:hAnsi="黑体"/>
          <w:szCs w:val="21"/>
        </w:rPr>
        <w:t>左上角</w:t>
      </w:r>
      <w:r>
        <w:rPr>
          <w:rFonts w:ascii="宋体" w:hAnsi="黑体"/>
          <w:szCs w:val="21"/>
        </w:rPr>
        <w:t>的“+产品参数”</w:t>
      </w:r>
      <w:r>
        <w:rPr>
          <w:rFonts w:hint="eastAsia" w:ascii="宋体" w:hAnsi="黑体"/>
          <w:szCs w:val="21"/>
        </w:rPr>
        <w:t>，在</w:t>
      </w:r>
      <w:r>
        <w:rPr>
          <w:rFonts w:ascii="宋体" w:hAnsi="黑体"/>
          <w:szCs w:val="21"/>
        </w:rPr>
        <w:t>新增的参数类别，</w:t>
      </w:r>
      <w:r>
        <w:rPr>
          <w:rFonts w:hint="eastAsia" w:ascii="宋体" w:hAnsi="黑体"/>
          <w:szCs w:val="21"/>
        </w:rPr>
        <w:t>点击</w:t>
      </w:r>
      <w:r>
        <w:rPr>
          <w:rFonts w:ascii="宋体" w:hAnsi="黑体"/>
          <w:szCs w:val="21"/>
        </w:rPr>
        <w:drawing>
          <wp:inline distT="0" distB="0" distL="114300" distR="114300">
            <wp:extent cx="371475" cy="266700"/>
            <wp:effectExtent l="0" t="0" r="9525"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4"/>
                    <a:stretch>
                      <a:fillRect/>
                    </a:stretch>
                  </pic:blipFill>
                  <pic:spPr>
                    <a:xfrm>
                      <a:off x="0" y="0"/>
                      <a:ext cx="371475" cy="266700"/>
                    </a:xfrm>
                    <a:prstGeom prst="rect">
                      <a:avLst/>
                    </a:prstGeom>
                    <a:noFill/>
                    <a:ln w="9525">
                      <a:noFill/>
                    </a:ln>
                  </pic:spPr>
                </pic:pic>
              </a:graphicData>
            </a:graphic>
          </wp:inline>
        </w:drawing>
      </w:r>
      <w:r>
        <w:rPr>
          <w:rFonts w:hint="eastAsia" w:ascii="宋体" w:hAnsi="黑体"/>
          <w:szCs w:val="21"/>
        </w:rPr>
        <w:t>，如</w:t>
      </w:r>
      <w:r>
        <w:rPr>
          <w:rFonts w:ascii="宋体" w:hAnsi="黑体"/>
          <w:szCs w:val="21"/>
        </w:rPr>
        <w:t>下图所示：</w:t>
      </w:r>
    </w:p>
    <w:p>
      <w:pPr>
        <w:ind w:left="360" w:firstLine="0" w:firstLineChars="0"/>
        <w:jc w:val="center"/>
        <w:rPr>
          <w:rFonts w:ascii="黑体" w:hAnsi="黑体" w:eastAsia="黑体"/>
          <w:sz w:val="21"/>
          <w:szCs w:val="21"/>
        </w:rPr>
      </w:pPr>
      <w:r>
        <w:rPr>
          <w:rFonts w:ascii="黑体" w:hAnsi="黑体" w:eastAsia="黑体"/>
          <w:sz w:val="21"/>
          <w:szCs w:val="21"/>
        </w:rPr>
        <w:drawing>
          <wp:inline distT="0" distB="0" distL="114300" distR="114300">
            <wp:extent cx="1695450" cy="15144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1695450" cy="1514475"/>
                    </a:xfrm>
                    <a:prstGeom prst="rect">
                      <a:avLst/>
                    </a:prstGeom>
                    <a:noFill/>
                    <a:ln w="9525">
                      <a:noFill/>
                    </a:ln>
                  </pic:spPr>
                </pic:pic>
              </a:graphicData>
            </a:graphic>
          </wp:inline>
        </w:drawing>
      </w:r>
    </w:p>
    <w:p>
      <w:pPr>
        <w:ind w:left="360" w:firstLine="0" w:firstLineChars="0"/>
        <w:rPr>
          <w:rFonts w:hint="eastAsia" w:ascii="宋体" w:hAnsi="黑体"/>
          <w:szCs w:val="24"/>
        </w:rPr>
      </w:pPr>
      <w:r>
        <w:rPr>
          <w:rFonts w:hint="eastAsia" w:ascii="宋体" w:hAnsi="黑体"/>
          <w:szCs w:val="24"/>
        </w:rPr>
        <w:t>然后选择</w:t>
      </w:r>
      <w:r>
        <w:rPr>
          <w:rFonts w:ascii="宋体" w:hAnsi="黑体"/>
          <w:szCs w:val="24"/>
        </w:rPr>
        <w:t>所需参数</w:t>
      </w:r>
      <w:r>
        <w:rPr>
          <w:rFonts w:hint="eastAsia" w:ascii="宋体" w:hAnsi="黑体"/>
          <w:szCs w:val="24"/>
        </w:rPr>
        <w:t>类别，</w:t>
      </w:r>
      <w:r>
        <w:rPr>
          <w:rFonts w:ascii="宋体" w:hAnsi="黑体"/>
          <w:szCs w:val="24"/>
        </w:rPr>
        <w:t>点击后，所增参数类别就添加到</w:t>
      </w:r>
      <w:r>
        <w:rPr>
          <w:rFonts w:hint="eastAsia" w:ascii="宋体" w:hAnsi="黑体"/>
          <w:szCs w:val="24"/>
        </w:rPr>
        <w:t>配置</w:t>
      </w:r>
      <w:r>
        <w:rPr>
          <w:rFonts w:ascii="宋体" w:hAnsi="黑体"/>
          <w:szCs w:val="24"/>
        </w:rPr>
        <w:t>中来。</w:t>
      </w:r>
    </w:p>
    <w:p>
      <w:pPr>
        <w:numPr>
          <w:ilvl w:val="0"/>
          <w:numId w:val="1"/>
        </w:numPr>
        <w:ind w:firstLineChars="0"/>
        <w:rPr>
          <w:rFonts w:hint="eastAsia" w:ascii="宋体" w:hAnsi="宋体"/>
          <w:szCs w:val="24"/>
        </w:rPr>
      </w:pPr>
      <w:r>
        <w:rPr>
          <w:rFonts w:hint="eastAsia" w:ascii="宋体" w:hAnsi="宋体"/>
          <w:szCs w:val="24"/>
        </w:rPr>
        <w:t>在</w:t>
      </w:r>
      <w:r>
        <w:rPr>
          <w:rFonts w:ascii="宋体" w:hAnsi="宋体"/>
          <w:szCs w:val="24"/>
        </w:rPr>
        <w:t>参数类别</w:t>
      </w:r>
      <w:r>
        <w:rPr>
          <w:rFonts w:hint="eastAsia" w:ascii="宋体" w:hAnsi="宋体"/>
          <w:szCs w:val="24"/>
        </w:rPr>
        <w:t>“轴</w:t>
      </w:r>
      <w:r>
        <w:rPr>
          <w:rFonts w:ascii="宋体" w:hAnsi="宋体"/>
          <w:szCs w:val="24"/>
        </w:rPr>
        <w:t>膨胀系数</w:t>
      </w:r>
      <w:r>
        <w:rPr>
          <w:rFonts w:hint="eastAsia" w:ascii="宋体" w:hAnsi="宋体"/>
          <w:szCs w:val="24"/>
        </w:rPr>
        <w:t>”输入</w:t>
      </w:r>
      <w:r>
        <w:rPr>
          <w:rFonts w:ascii="宋体" w:hAnsi="宋体"/>
          <w:szCs w:val="24"/>
        </w:rPr>
        <w:t>参数值</w:t>
      </w:r>
      <w:r>
        <w:rPr>
          <w:rFonts w:hint="eastAsia" w:ascii="宋体" w:hAnsi="宋体"/>
          <w:szCs w:val="24"/>
        </w:rPr>
        <w:t>膨胀系数。如果</w:t>
      </w:r>
      <w:r>
        <w:rPr>
          <w:rFonts w:ascii="宋体" w:hAnsi="宋体"/>
          <w:szCs w:val="24"/>
        </w:rPr>
        <w:t>不</w:t>
      </w:r>
      <w:r>
        <w:rPr>
          <w:rFonts w:hint="eastAsia" w:ascii="宋体" w:hAnsi="宋体"/>
          <w:szCs w:val="24"/>
        </w:rPr>
        <w:t>增加</w:t>
      </w:r>
      <w:r>
        <w:rPr>
          <w:rFonts w:ascii="宋体" w:hAnsi="宋体"/>
          <w:szCs w:val="24"/>
        </w:rPr>
        <w:t>此项，默认为“1”</w:t>
      </w:r>
      <w:r>
        <w:rPr>
          <w:rFonts w:hint="eastAsia" w:ascii="宋体" w:hAnsi="宋体"/>
          <w:szCs w:val="24"/>
        </w:rPr>
        <w:t>。</w:t>
      </w:r>
    </w:p>
    <w:p>
      <w:pPr>
        <w:ind w:left="360" w:firstLine="0" w:firstLineChars="0"/>
        <w:rPr>
          <w:rFonts w:hint="eastAsia" w:ascii="宋体" w:hAnsi="宋体"/>
          <w:szCs w:val="24"/>
        </w:rPr>
      </w:pPr>
      <w:r>
        <w:rPr>
          <w:rFonts w:hint="eastAsia" w:ascii="宋体" w:hAnsi="宋体"/>
          <w:szCs w:val="24"/>
        </w:rPr>
        <w:t>注：</w:t>
      </w:r>
      <w:r>
        <w:rPr>
          <w:rFonts w:ascii="宋体" w:hAnsi="宋体"/>
          <w:szCs w:val="24"/>
        </w:rPr>
        <w:t>涉及</w:t>
      </w:r>
      <w:r>
        <w:rPr>
          <w:rFonts w:hint="eastAsia" w:ascii="宋体" w:hAnsi="宋体"/>
          <w:szCs w:val="24"/>
        </w:rPr>
        <w:t>采集</w:t>
      </w:r>
      <w:r>
        <w:rPr>
          <w:rFonts w:ascii="宋体" w:hAnsi="宋体"/>
          <w:szCs w:val="24"/>
        </w:rPr>
        <w:t>钢温</w:t>
      </w:r>
      <w:r>
        <w:rPr>
          <w:rFonts w:hint="eastAsia" w:ascii="宋体" w:hAnsi="宋体"/>
          <w:szCs w:val="24"/>
        </w:rPr>
        <w:t>膨胀</w:t>
      </w:r>
      <w:r>
        <w:rPr>
          <w:rFonts w:ascii="宋体" w:hAnsi="宋体"/>
          <w:szCs w:val="24"/>
        </w:rPr>
        <w:t>系数动态</w:t>
      </w:r>
      <w:r>
        <w:rPr>
          <w:rFonts w:hint="eastAsia" w:ascii="宋体" w:hAnsi="宋体"/>
          <w:szCs w:val="24"/>
        </w:rPr>
        <w:t>设定</w:t>
      </w:r>
      <w:r>
        <w:rPr>
          <w:rFonts w:ascii="宋体" w:hAnsi="宋体"/>
          <w:szCs w:val="24"/>
        </w:rPr>
        <w:t>，可参附页。</w:t>
      </w:r>
    </w:p>
    <w:p>
      <w:pPr>
        <w:ind w:firstLine="0" w:firstLineChars="0"/>
        <w:rPr>
          <w:rFonts w:hint="eastAsia" w:ascii="宋体" w:hAnsi="宋体"/>
          <w:szCs w:val="24"/>
        </w:rPr>
      </w:pPr>
      <w:r>
        <w:rPr>
          <w:rFonts w:hint="eastAsia" w:ascii="宋体" w:hAnsi="黑体"/>
          <w:b/>
          <w:szCs w:val="24"/>
        </w:rPr>
        <w:t>设置</w:t>
      </w:r>
      <w:r>
        <w:rPr>
          <w:rFonts w:ascii="宋体" w:hAnsi="黑体"/>
          <w:b/>
          <w:szCs w:val="24"/>
        </w:rPr>
        <w:t>完毕后，如</w:t>
      </w:r>
      <w:r>
        <w:rPr>
          <w:rFonts w:hint="eastAsia" w:ascii="宋体" w:hAnsi="黑体"/>
          <w:b/>
          <w:szCs w:val="24"/>
        </w:rPr>
        <w:t>下</w:t>
      </w:r>
      <w:r>
        <w:rPr>
          <w:rFonts w:ascii="宋体" w:hAnsi="黑体"/>
          <w:b/>
          <w:szCs w:val="24"/>
        </w:rPr>
        <w:t>图所示</w:t>
      </w:r>
      <w:r>
        <w:rPr>
          <w:rFonts w:hint="eastAsia" w:ascii="宋体" w:hAnsi="黑体"/>
          <w:b/>
          <w:szCs w:val="24"/>
        </w:rPr>
        <w:t>：</w:t>
      </w:r>
    </w:p>
    <w:p>
      <w:pPr>
        <w:ind w:firstLine="0" w:firstLineChars="0"/>
        <w:jc w:val="center"/>
        <w:rPr>
          <w:rFonts w:hint="eastAsia" w:ascii="宋体" w:hAnsi="宋体"/>
          <w:szCs w:val="24"/>
        </w:rPr>
      </w:pPr>
      <w:r>
        <w:rPr>
          <w:rFonts w:hint="eastAsia" w:ascii="宋体" w:hAnsi="宋体"/>
          <w:szCs w:val="24"/>
        </w:rPr>
        <w:drawing>
          <wp:inline distT="0" distB="0" distL="114300" distR="114300">
            <wp:extent cx="4147820" cy="1797685"/>
            <wp:effectExtent l="0" t="0" r="5080" b="1206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3"/>
                    <a:stretch>
                      <a:fillRect/>
                    </a:stretch>
                  </pic:blipFill>
                  <pic:spPr>
                    <a:xfrm>
                      <a:off x="0" y="0"/>
                      <a:ext cx="4147820" cy="1797685"/>
                    </a:xfrm>
                    <a:prstGeom prst="rect">
                      <a:avLst/>
                    </a:prstGeom>
                    <a:noFill/>
                    <a:ln w="9525">
                      <a:noFill/>
                    </a:ln>
                  </pic:spPr>
                </pic:pic>
              </a:graphicData>
            </a:graphic>
          </wp:inline>
        </w:drawing>
      </w:r>
    </w:p>
    <w:p>
      <w:pPr>
        <w:ind w:firstLine="0" w:firstLineChars="0"/>
        <w:rPr>
          <w:rFonts w:hint="eastAsia" w:ascii="黑体" w:hAnsi="黑体" w:eastAsia="黑体"/>
          <w:sz w:val="21"/>
          <w:szCs w:val="21"/>
        </w:rPr>
      </w:pPr>
    </w:p>
    <w:p>
      <w:pPr>
        <w:ind w:firstLine="385" w:firstLineChars="175"/>
        <w:rPr>
          <w:rFonts w:ascii="黑体" w:hAnsi="黑体" w:eastAsia="黑体"/>
          <w:color w:val="FF0000"/>
          <w:sz w:val="22"/>
        </w:rPr>
      </w:pPr>
      <w:r>
        <w:rPr>
          <w:rFonts w:hint="eastAsia" w:ascii="黑体" w:hAnsi="黑体" w:eastAsia="黑体"/>
          <w:color w:val="FF0000"/>
          <w:sz w:val="22"/>
        </w:rPr>
        <w:t>注</w:t>
      </w:r>
      <w:r>
        <w:rPr>
          <w:rFonts w:ascii="黑体" w:hAnsi="黑体" w:eastAsia="黑体"/>
          <w:color w:val="FF0000"/>
          <w:sz w:val="22"/>
        </w:rPr>
        <w:t>：</w:t>
      </w:r>
      <w:r>
        <w:rPr>
          <w:rFonts w:hint="eastAsia" w:ascii="黑体" w:hAnsi="黑体" w:eastAsia="黑体"/>
          <w:color w:val="FF0000"/>
          <w:sz w:val="22"/>
        </w:rPr>
        <w:t>“删除”是删除该项对应</w:t>
      </w:r>
      <w:r>
        <w:rPr>
          <w:rFonts w:ascii="黑体" w:hAnsi="黑体" w:eastAsia="黑体"/>
          <w:color w:val="FF0000"/>
          <w:sz w:val="22"/>
        </w:rPr>
        <w:t>的</w:t>
      </w:r>
      <w:r>
        <w:rPr>
          <w:rFonts w:hint="eastAsia" w:ascii="黑体" w:hAnsi="黑体" w:eastAsia="黑体"/>
          <w:color w:val="FF0000"/>
          <w:sz w:val="22"/>
        </w:rPr>
        <w:t>参数类别。</w:t>
      </w:r>
    </w:p>
    <w:p>
      <w:pPr>
        <w:numPr>
          <w:ilvl w:val="0"/>
          <w:numId w:val="1"/>
        </w:numPr>
        <w:ind w:firstLineChars="0"/>
        <w:rPr>
          <w:rFonts w:ascii="宋体" w:hAnsi="宋体"/>
          <w:szCs w:val="24"/>
        </w:rPr>
      </w:pPr>
      <w:r>
        <w:rPr>
          <w:rFonts w:hint="eastAsia" w:ascii="宋体" w:hAnsi="宋体"/>
          <w:szCs w:val="24"/>
        </w:rPr>
        <w:t>操作完成后，点击右下角“确定”按钮，即可保存本型号的设置、并退出。重新返回到产品型号配置界面。</w:t>
      </w:r>
    </w:p>
    <w:p>
      <w:pPr>
        <w:ind w:firstLine="600" w:firstLineChars="250"/>
        <w:rPr>
          <w:rFonts w:ascii="宋体" w:hAnsi="宋体"/>
          <w:szCs w:val="24"/>
        </w:rPr>
      </w:pPr>
      <w:r>
        <w:rPr>
          <w:rFonts w:hint="eastAsia" w:ascii="宋体" w:hAnsi="宋体"/>
          <w:szCs w:val="24"/>
        </w:rPr>
        <w:t>配置的</w:t>
      </w:r>
      <w:r>
        <w:rPr>
          <w:rFonts w:ascii="宋体" w:hAnsi="宋体"/>
          <w:szCs w:val="24"/>
        </w:rPr>
        <w:t>型号</w:t>
      </w:r>
      <w:r>
        <w:rPr>
          <w:rFonts w:hint="eastAsia" w:ascii="宋体" w:hAnsi="宋体"/>
          <w:szCs w:val="24"/>
        </w:rPr>
        <w:t>已经显示</w:t>
      </w:r>
      <w:r>
        <w:rPr>
          <w:rFonts w:ascii="宋体" w:hAnsi="宋体"/>
          <w:szCs w:val="24"/>
        </w:rPr>
        <w:t>在“</w:t>
      </w:r>
      <w:r>
        <w:rPr>
          <w:rFonts w:hint="eastAsia" w:ascii="宋体" w:hAnsi="宋体"/>
          <w:szCs w:val="24"/>
        </w:rPr>
        <w:t>产品</w:t>
      </w:r>
      <w:r>
        <w:rPr>
          <w:rFonts w:ascii="宋体" w:hAnsi="宋体"/>
          <w:szCs w:val="24"/>
        </w:rPr>
        <w:t>型号配置”</w:t>
      </w:r>
      <w:r>
        <w:rPr>
          <w:rFonts w:hint="eastAsia" w:ascii="宋体" w:hAnsi="宋体"/>
          <w:szCs w:val="24"/>
        </w:rPr>
        <w:t>框</w:t>
      </w:r>
      <w:r>
        <w:rPr>
          <w:rFonts w:ascii="宋体" w:hAnsi="宋体"/>
          <w:szCs w:val="24"/>
        </w:rPr>
        <w:t>内。</w:t>
      </w:r>
    </w:p>
    <w:p>
      <w:pPr>
        <w:ind w:firstLine="600" w:firstLineChars="250"/>
        <w:rPr>
          <w:rFonts w:hint="eastAsia" w:ascii="宋体" w:hAnsi="宋体"/>
          <w:szCs w:val="24"/>
        </w:rPr>
      </w:pPr>
      <w:r>
        <w:drawing>
          <wp:inline distT="0" distB="0" distL="114300" distR="114300">
            <wp:extent cx="3646805" cy="1724660"/>
            <wp:effectExtent l="0" t="0" r="10795" b="889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9"/>
                    <a:stretch>
                      <a:fillRect/>
                    </a:stretch>
                  </pic:blipFill>
                  <pic:spPr>
                    <a:xfrm>
                      <a:off x="0" y="0"/>
                      <a:ext cx="3646805" cy="1724660"/>
                    </a:xfrm>
                    <a:prstGeom prst="rect">
                      <a:avLst/>
                    </a:prstGeom>
                    <a:noFill/>
                    <a:ln w="9525">
                      <a:noFill/>
                    </a:ln>
                  </pic:spPr>
                </pic:pic>
              </a:graphicData>
            </a:graphic>
          </wp:inline>
        </w:drawing>
      </w:r>
    </w:p>
    <w:p>
      <w:pPr>
        <w:ind w:firstLine="0" w:firstLineChars="0"/>
      </w:pPr>
      <w:r>
        <w:rPr>
          <w:rFonts w:hint="eastAsia"/>
        </w:rPr>
        <w:t>“删除”按钮，删除已有的对应行的产品型号。</w:t>
      </w:r>
    </w:p>
    <w:p>
      <w:pPr>
        <w:ind w:firstLine="0" w:firstLineChars="0"/>
        <w:rPr>
          <w:rFonts w:hint="eastAsia"/>
        </w:rPr>
      </w:pPr>
      <w:r>
        <w:rPr>
          <w:rFonts w:hint="eastAsia"/>
        </w:rPr>
        <w:t>“编辑”按钮，可以对已有的型号进行修改。</w:t>
      </w:r>
    </w:p>
    <w:p>
      <w:pPr>
        <w:ind w:firstLine="0" w:firstLineChars="0"/>
      </w:pPr>
      <w:r>
        <w:rPr>
          <w:rFonts w:hint="eastAsia"/>
        </w:rPr>
        <w:t>“+添加”按钮，继续增加产品型号。</w:t>
      </w:r>
    </w:p>
    <w:p>
      <w:pPr>
        <w:ind w:firstLine="0" w:firstLineChars="0"/>
        <w:rPr>
          <w:rFonts w:hint="eastAsia"/>
        </w:rPr>
      </w:pPr>
      <w:r>
        <w:rPr>
          <w:rFonts w:hint="eastAsia"/>
        </w:rPr>
        <w:t>“确定”保存操作并退出</w:t>
      </w:r>
    </w:p>
    <w:p>
      <w:pPr>
        <w:ind w:firstLine="0" w:firstLineChars="0"/>
        <w:rPr>
          <w:rFonts w:hint="eastAsia"/>
        </w:rPr>
      </w:pPr>
    </w:p>
    <w:p>
      <w:pPr>
        <w:ind w:firstLine="0" w:firstLineChars="0"/>
        <w:rPr>
          <w:rFonts w:hint="eastAsia"/>
        </w:rPr>
      </w:pPr>
    </w:p>
    <w:p>
      <w:pPr>
        <w:pStyle w:val="3"/>
      </w:pPr>
      <w:bookmarkStart w:id="175" w:name="_Toc17202"/>
      <w:bookmarkStart w:id="176" w:name="_Toc534289205"/>
      <w:r>
        <w:rPr>
          <w:rFonts w:hint="eastAsia"/>
          <w:lang w:val="en-US" w:eastAsia="zh-CN"/>
        </w:rPr>
        <w:t>4.3</w:t>
      </w:r>
      <w:r>
        <w:rPr>
          <w:rFonts w:hint="eastAsia"/>
        </w:rPr>
        <w:t>产品型号选择</w:t>
      </w:r>
      <w:bookmarkEnd w:id="175"/>
      <w:bookmarkEnd w:id="176"/>
    </w:p>
    <w:p>
      <w:pPr>
        <w:ind w:firstLine="480"/>
      </w:pPr>
      <w:r>
        <w:rPr>
          <w:rFonts w:hint="eastAsia"/>
        </w:rPr>
        <w:t>主界面点击</w:t>
      </w:r>
      <w:r>
        <w:t xml:space="preserve"> </w:t>
      </w:r>
      <w:r>
        <w:rPr>
          <w:rFonts w:hint="eastAsia"/>
        </w:rPr>
        <w:t>“产品参数”按钮，在下拉菜单中选择“选择产品型号”选项。</w:t>
      </w:r>
    </w:p>
    <w:p>
      <w:pPr>
        <w:ind w:firstLine="480"/>
        <w:jc w:val="center"/>
      </w:pPr>
      <w:r>
        <w:drawing>
          <wp:inline distT="0" distB="0" distL="114300" distR="114300">
            <wp:extent cx="1060450" cy="1059815"/>
            <wp:effectExtent l="0" t="0" r="6350" b="698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8"/>
                    <a:srcRect l="28864" t="1393" r="59308" b="77754"/>
                    <a:stretch>
                      <a:fillRect/>
                    </a:stretch>
                  </pic:blipFill>
                  <pic:spPr>
                    <a:xfrm>
                      <a:off x="0" y="0"/>
                      <a:ext cx="1060450" cy="1059815"/>
                    </a:xfrm>
                    <a:prstGeom prst="rect">
                      <a:avLst/>
                    </a:prstGeom>
                    <a:noFill/>
                    <a:ln w="9525">
                      <a:noFill/>
                    </a:ln>
                  </pic:spPr>
                </pic:pic>
              </a:graphicData>
            </a:graphic>
          </wp:inline>
        </w:drawing>
      </w:r>
    </w:p>
    <w:p>
      <w:pPr>
        <w:ind w:firstLine="480"/>
      </w:pPr>
      <w:r>
        <w:rPr>
          <w:rFonts w:hint="eastAsia"/>
        </w:rPr>
        <w:t>点击“选择产品型号”后</w:t>
      </w:r>
      <w:r>
        <w:t>，</w:t>
      </w:r>
      <w:r>
        <w:rPr>
          <w:rFonts w:hint="eastAsia"/>
        </w:rPr>
        <w:t>界面</w:t>
      </w:r>
      <w:r>
        <w:t>如图</w:t>
      </w:r>
    </w:p>
    <w:p>
      <w:pPr>
        <w:ind w:firstLine="480"/>
        <w:jc w:val="both"/>
        <w:rPr>
          <w:rFonts w:hint="eastAsia"/>
        </w:rPr>
      </w:pPr>
      <w:r>
        <w:drawing>
          <wp:inline distT="0" distB="0" distL="114300" distR="114300">
            <wp:extent cx="4036060" cy="1473835"/>
            <wp:effectExtent l="0" t="0" r="2540" b="1206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26"/>
                    <a:stretch>
                      <a:fillRect/>
                    </a:stretch>
                  </pic:blipFill>
                  <pic:spPr>
                    <a:xfrm>
                      <a:off x="0" y="0"/>
                      <a:ext cx="4036060" cy="1473835"/>
                    </a:xfrm>
                    <a:prstGeom prst="rect">
                      <a:avLst/>
                    </a:prstGeom>
                    <a:noFill/>
                    <a:ln w="9525">
                      <a:noFill/>
                    </a:ln>
                  </pic:spPr>
                </pic:pic>
              </a:graphicData>
            </a:graphic>
          </wp:inline>
        </w:drawing>
      </w:r>
    </w:p>
    <w:p>
      <w:pPr>
        <w:ind w:firstLine="480"/>
      </w:pPr>
      <w:r>
        <w:rPr>
          <w:rFonts w:hint="eastAsia"/>
        </w:rPr>
        <w:t>刚才</w:t>
      </w:r>
      <w:r>
        <w:t>配置的型号已经出现在选项里（</w:t>
      </w:r>
      <w:r>
        <w:rPr>
          <w:rFonts w:hint="eastAsia"/>
          <w:color w:val="FF0000"/>
        </w:rPr>
        <w:t>新增</w:t>
      </w:r>
      <w:r>
        <w:rPr>
          <w:color w:val="FF0000"/>
        </w:rPr>
        <w:t>型号</w:t>
      </w:r>
      <w:r>
        <w:rPr>
          <w:rFonts w:hint="eastAsia"/>
          <w:color w:val="FF0000"/>
        </w:rPr>
        <w:t>时</w:t>
      </w:r>
      <w:r>
        <w:rPr>
          <w:color w:val="FF0000"/>
        </w:rPr>
        <w:t>，点击“+配置”</w:t>
      </w:r>
      <w:r>
        <w:rPr>
          <w:rFonts w:hint="eastAsia"/>
          <w:color w:val="FF0000"/>
        </w:rPr>
        <w:t>钮，</w:t>
      </w:r>
      <w:r>
        <w:rPr>
          <w:color w:val="FF0000"/>
        </w:rPr>
        <w:t>使其刷新显现</w:t>
      </w:r>
      <w:r>
        <w:t>）</w:t>
      </w:r>
      <w:r>
        <w:rPr>
          <w:rFonts w:hint="eastAsia"/>
        </w:rPr>
        <w:t>。</w:t>
      </w:r>
    </w:p>
    <w:p>
      <w:pPr>
        <w:ind w:firstLine="480"/>
        <w:rPr>
          <w:rFonts w:hint="eastAsia"/>
        </w:rPr>
      </w:pPr>
      <w:r>
        <w:rPr>
          <w:rFonts w:hint="eastAsia"/>
        </w:rPr>
        <w:t>点击“产品型号”下拉箭头，选中要测量的型号，点击确定即可选中</w:t>
      </w:r>
      <w:r>
        <w:t>该规格的产品型号</w:t>
      </w:r>
      <w:r>
        <w:rPr>
          <w:rFonts w:hint="eastAsia"/>
        </w:rPr>
        <w:t>。然后</w:t>
      </w:r>
      <w:r>
        <w:t>可以</w:t>
      </w:r>
      <w:r>
        <w:rPr>
          <w:rFonts w:hint="eastAsia"/>
        </w:rPr>
        <w:t>通过</w:t>
      </w:r>
      <w:r>
        <w:t>“</w:t>
      </w:r>
      <w:r>
        <w:rPr>
          <w:rFonts w:hint="eastAsia"/>
        </w:rPr>
        <w:t>开始</w:t>
      </w:r>
      <w:r>
        <w:t>测量”</w:t>
      </w:r>
      <w:r>
        <w:rPr>
          <w:rFonts w:hint="eastAsia"/>
        </w:rPr>
        <w:t>使用</w:t>
      </w:r>
      <w:r>
        <w:t>。</w:t>
      </w:r>
    </w:p>
    <w:p>
      <w:pPr>
        <w:ind w:firstLine="480"/>
      </w:pPr>
    </w:p>
    <w:p>
      <w:pPr>
        <w:pStyle w:val="3"/>
      </w:pPr>
      <w:bookmarkStart w:id="177" w:name="_Toc534289206"/>
      <w:bookmarkStart w:id="178" w:name="_Toc21135"/>
      <w:r>
        <w:rPr>
          <w:rFonts w:hint="eastAsia"/>
          <w:lang w:val="en-US" w:eastAsia="zh-CN"/>
        </w:rPr>
        <w:t>4.4</w:t>
      </w:r>
      <w:r>
        <w:rPr>
          <w:rFonts w:hint="eastAsia"/>
        </w:rPr>
        <w:t>测量</w:t>
      </w:r>
      <w:bookmarkEnd w:id="177"/>
      <w:r>
        <w:rPr>
          <w:rFonts w:hint="eastAsia"/>
          <w:lang w:eastAsia="zh-CN"/>
        </w:rPr>
        <w:t>启停</w:t>
      </w:r>
      <w:bookmarkEnd w:id="178"/>
    </w:p>
    <w:p>
      <w:pPr>
        <w:ind w:firstLine="480"/>
      </w:pPr>
      <w:r>
        <w:rPr>
          <w:rFonts w:hint="eastAsia"/>
        </w:rPr>
        <w:t>点击的“菜单栏”中的“开始测量”按钮，开始进行测量，测量数据显示在数据展示区域；同时，“开始测量”按钮变更为“停止测量”</w:t>
      </w:r>
      <w:bookmarkStart w:id="179" w:name="_Toc529970677"/>
      <w:r>
        <w:rPr>
          <w:rFonts w:hint="eastAsia"/>
        </w:rPr>
        <w:t>。</w:t>
      </w:r>
    </w:p>
    <w:p>
      <w:pPr>
        <w:ind w:firstLine="480"/>
        <w:jc w:val="center"/>
        <w:rPr>
          <w:rFonts w:hint="eastAsia"/>
        </w:rPr>
      </w:pPr>
      <w:r>
        <w:drawing>
          <wp:inline distT="0" distB="0" distL="114300" distR="114300">
            <wp:extent cx="3245485" cy="1188720"/>
            <wp:effectExtent l="0" t="0" r="12065" b="1143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7"/>
                    <a:stretch>
                      <a:fillRect/>
                    </a:stretch>
                  </pic:blipFill>
                  <pic:spPr>
                    <a:xfrm>
                      <a:off x="0" y="0"/>
                      <a:ext cx="3245485" cy="1188720"/>
                    </a:xfrm>
                    <a:prstGeom prst="rect">
                      <a:avLst/>
                    </a:prstGeom>
                    <a:noFill/>
                    <a:ln w="9525">
                      <a:noFill/>
                    </a:ln>
                  </pic:spPr>
                </pic:pic>
              </a:graphicData>
            </a:graphic>
          </wp:inline>
        </w:drawing>
      </w:r>
    </w:p>
    <w:p>
      <w:pPr>
        <w:ind w:firstLine="0" w:firstLineChars="0"/>
        <w:rPr>
          <w:rFonts w:hint="eastAsia"/>
        </w:rPr>
      </w:pPr>
      <w:r>
        <w:rPr>
          <w:rFonts w:hint="eastAsia"/>
        </w:rPr>
        <w:t>注：开始</w:t>
      </w:r>
      <w:r>
        <w:t>测量后，除了“</w:t>
      </w:r>
      <w:r>
        <w:rPr>
          <w:rFonts w:hint="eastAsia"/>
        </w:rPr>
        <w:t>产品</w:t>
      </w:r>
      <w:r>
        <w:t>参数”</w:t>
      </w:r>
      <w:r>
        <w:rPr>
          <w:rFonts w:hint="eastAsia"/>
        </w:rPr>
        <w:t>和</w:t>
      </w:r>
      <w:r>
        <w:t>“</w:t>
      </w:r>
      <w:r>
        <w:rPr>
          <w:rFonts w:hint="eastAsia"/>
        </w:rPr>
        <w:t>设备参数</w:t>
      </w:r>
      <w:r>
        <w:t>”</w:t>
      </w:r>
      <w:r>
        <w:rPr>
          <w:rFonts w:hint="eastAsia"/>
        </w:rPr>
        <w:t>不可用。</w:t>
      </w:r>
    </w:p>
    <w:p>
      <w:pPr>
        <w:pStyle w:val="3"/>
      </w:pPr>
      <w:bookmarkStart w:id="180" w:name="_Toc3852"/>
      <w:bookmarkStart w:id="181" w:name="_Toc534289208"/>
      <w:r>
        <w:rPr>
          <w:rFonts w:hint="eastAsia"/>
          <w:lang w:val="en-US" w:eastAsia="zh-CN"/>
        </w:rPr>
        <w:t>4.5</w:t>
      </w:r>
      <w:r>
        <w:rPr>
          <w:rFonts w:hint="eastAsia"/>
        </w:rPr>
        <w:t>大屏开关</w:t>
      </w:r>
      <w:bookmarkEnd w:id="179"/>
      <w:bookmarkEnd w:id="180"/>
      <w:bookmarkEnd w:id="181"/>
    </w:p>
    <w:p>
      <w:pPr>
        <w:ind w:firstLine="480"/>
        <w:rPr>
          <w:lang w:val="zh-TW"/>
        </w:rPr>
      </w:pPr>
      <w:r>
        <w:rPr>
          <w:rFonts w:hint="eastAsia"/>
          <w:lang w:val="zh-TW" w:eastAsia="zh-TW"/>
        </w:rPr>
        <w:t>设备</w:t>
      </w:r>
      <w:r>
        <w:rPr>
          <w:rFonts w:hint="eastAsia"/>
          <w:lang w:val="zh-TW"/>
        </w:rPr>
        <w:t>支持一个</w:t>
      </w:r>
      <w:r>
        <w:rPr>
          <w:lang w:val="zh-TW"/>
        </w:rPr>
        <w:t>LED</w:t>
      </w:r>
      <w:r>
        <w:rPr>
          <w:rFonts w:hint="eastAsia"/>
          <w:lang w:val="zh-TW"/>
        </w:rPr>
        <w:t>屏（选配）。采用千兆网卡控制，可以与主机同步显示测量数据。通过此按钮可以控制外接屏是否显示。</w:t>
      </w:r>
    </w:p>
    <w:p>
      <w:pPr>
        <w:ind w:firstLine="420" w:firstLineChars="0"/>
        <w:rPr>
          <w:rFonts w:hint="eastAsia"/>
          <w:lang w:val="zh-TW"/>
        </w:rPr>
      </w:pPr>
      <w:r>
        <w:rPr>
          <w:rFonts w:hint="eastAsia"/>
          <w:lang w:val="zh-TW"/>
        </w:rPr>
        <w:t>在大屏“开”时，在软件中点击下图所示按钮，可以通过软件控制大屏开关。</w:t>
      </w:r>
    </w:p>
    <w:p>
      <w:pPr>
        <w:pStyle w:val="31"/>
        <w:ind w:left="420" w:firstLine="0" w:firstLineChars="0"/>
        <w:jc w:val="center"/>
      </w:pPr>
      <w:r>
        <w:drawing>
          <wp:inline distT="0" distB="0" distL="114300" distR="114300">
            <wp:extent cx="1668145" cy="746125"/>
            <wp:effectExtent l="0" t="0" r="8255" b="15875"/>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28"/>
                    <a:stretch>
                      <a:fillRect/>
                    </a:stretch>
                  </pic:blipFill>
                  <pic:spPr>
                    <a:xfrm>
                      <a:off x="0" y="0"/>
                      <a:ext cx="1668145" cy="746125"/>
                    </a:xfrm>
                    <a:prstGeom prst="rect">
                      <a:avLst/>
                    </a:prstGeom>
                    <a:noFill/>
                    <a:ln w="9525">
                      <a:noFill/>
                    </a:ln>
                  </pic:spPr>
                </pic:pic>
              </a:graphicData>
            </a:graphic>
          </wp:inline>
        </w:drawing>
      </w:r>
    </w:p>
    <w:p>
      <w:pPr>
        <w:pStyle w:val="3"/>
      </w:pPr>
      <w:bookmarkStart w:id="182" w:name="_Toc534289209"/>
      <w:bookmarkStart w:id="183" w:name="_Toc5003"/>
      <w:bookmarkStart w:id="184" w:name="_Toc529970678"/>
      <w:r>
        <w:rPr>
          <w:rFonts w:hint="eastAsia"/>
          <w:lang w:val="en-US" w:eastAsia="zh-CN"/>
        </w:rPr>
        <w:t>4.6</w:t>
      </w:r>
      <w:r>
        <w:rPr>
          <w:rFonts w:hint="eastAsia"/>
        </w:rPr>
        <w:t>历史查询</w:t>
      </w:r>
      <w:bookmarkEnd w:id="182"/>
      <w:bookmarkEnd w:id="183"/>
      <w:bookmarkEnd w:id="184"/>
    </w:p>
    <w:p>
      <w:pPr>
        <w:ind w:firstLine="480"/>
        <w:rPr>
          <w:lang w:val="zh-TW"/>
        </w:rPr>
      </w:pPr>
      <w:r>
        <w:rPr>
          <w:rFonts w:hint="eastAsia"/>
          <w:lang w:val="zh-TW"/>
        </w:rPr>
        <w:t>主界面点击</w:t>
      </w:r>
      <w:r>
        <w:rPr>
          <w:lang w:val="zh-TW"/>
        </w:rPr>
        <w:t xml:space="preserve"> </w:t>
      </w:r>
      <w:r>
        <w:rPr>
          <w:rFonts w:hint="eastAsia"/>
          <w:lang w:val="zh-TW"/>
        </w:rPr>
        <w:t>“设备参数”按钮，在下拉菜单中选择“历史记录</w:t>
      </w:r>
      <w:r>
        <w:rPr>
          <w:lang w:val="zh-TW"/>
        </w:rPr>
        <w:t>回放</w:t>
      </w:r>
      <w:r>
        <w:rPr>
          <w:rFonts w:hint="eastAsia"/>
          <w:lang w:val="zh-TW"/>
        </w:rPr>
        <w:t>”选项。</w:t>
      </w:r>
    </w:p>
    <w:p>
      <w:pPr>
        <w:ind w:firstLine="480"/>
        <w:jc w:val="center"/>
      </w:pPr>
      <w:r>
        <w:drawing>
          <wp:inline distT="0" distB="0" distL="114300" distR="114300">
            <wp:extent cx="1207135" cy="1080135"/>
            <wp:effectExtent l="0" t="0" r="12065" b="5715"/>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9"/>
                    <a:srcRect l="34724" t="1201" r="53436" b="79962"/>
                    <a:stretch>
                      <a:fillRect/>
                    </a:stretch>
                  </pic:blipFill>
                  <pic:spPr>
                    <a:xfrm>
                      <a:off x="0" y="0"/>
                      <a:ext cx="1207135" cy="1080135"/>
                    </a:xfrm>
                    <a:prstGeom prst="rect">
                      <a:avLst/>
                    </a:prstGeom>
                    <a:noFill/>
                    <a:ln w="9525">
                      <a:noFill/>
                    </a:ln>
                  </pic:spPr>
                </pic:pic>
              </a:graphicData>
            </a:graphic>
          </wp:inline>
        </w:drawing>
      </w:r>
    </w:p>
    <w:p>
      <w:pPr>
        <w:ind w:firstLine="480"/>
      </w:pPr>
      <w:r>
        <w:rPr>
          <w:rFonts w:hint="eastAsia"/>
        </w:rPr>
        <w:t>点击</w:t>
      </w:r>
      <w:r>
        <w:t>“</w:t>
      </w:r>
      <w:r>
        <w:rPr>
          <w:rFonts w:hint="eastAsia"/>
        </w:rPr>
        <w:t>历史查询</w:t>
      </w:r>
      <w:r>
        <w:t>”</w:t>
      </w:r>
      <w:r>
        <w:rPr>
          <w:rFonts w:hint="eastAsia"/>
        </w:rPr>
        <w:t>后</w:t>
      </w:r>
      <w:r>
        <w:t>，出现</w:t>
      </w:r>
      <w:r>
        <w:rPr>
          <w:rFonts w:hint="eastAsia"/>
        </w:rPr>
        <w:t>“历史</w:t>
      </w:r>
      <w:r>
        <w:t>记录</w:t>
      </w:r>
      <w:r>
        <w:rPr>
          <w:rFonts w:hint="eastAsia"/>
        </w:rPr>
        <w:t>查询</w:t>
      </w:r>
      <w:r>
        <w:t>窗口</w:t>
      </w:r>
      <w:r>
        <w:rPr>
          <w:rFonts w:hint="eastAsia"/>
        </w:rPr>
        <w:t>”</w:t>
      </w:r>
    </w:p>
    <w:p>
      <w:pPr>
        <w:ind w:firstLine="480"/>
        <w:jc w:val="center"/>
        <w:rPr>
          <w:rFonts w:hint="eastAsia"/>
          <w:szCs w:val="24"/>
        </w:rPr>
      </w:pPr>
      <w:r>
        <w:drawing>
          <wp:inline distT="0" distB="0" distL="114300" distR="114300">
            <wp:extent cx="3821430" cy="1370965"/>
            <wp:effectExtent l="0" t="0" r="7620" b="63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30"/>
                    <a:stretch>
                      <a:fillRect/>
                    </a:stretch>
                  </pic:blipFill>
                  <pic:spPr>
                    <a:xfrm>
                      <a:off x="0" y="0"/>
                      <a:ext cx="3821430" cy="1370965"/>
                    </a:xfrm>
                    <a:prstGeom prst="rect">
                      <a:avLst/>
                    </a:prstGeom>
                    <a:noFill/>
                    <a:ln w="9525">
                      <a:noFill/>
                    </a:ln>
                  </pic:spPr>
                </pic:pic>
              </a:graphicData>
            </a:graphic>
          </wp:inline>
        </w:drawing>
      </w:r>
    </w:p>
    <w:p>
      <w:pPr>
        <w:ind w:firstLine="0" w:firstLineChars="0"/>
        <w:rPr>
          <w:b/>
          <w:szCs w:val="24"/>
        </w:rPr>
      </w:pPr>
    </w:p>
    <w:p>
      <w:pPr>
        <w:ind w:firstLine="0" w:firstLineChars="0"/>
        <w:rPr>
          <w:b/>
          <w:szCs w:val="24"/>
        </w:rPr>
      </w:pPr>
      <w:r>
        <w:rPr>
          <w:rFonts w:hint="eastAsia"/>
          <w:b/>
          <w:szCs w:val="24"/>
          <w:lang w:val="en-US" w:eastAsia="zh-CN"/>
        </w:rPr>
        <w:t>4.</w:t>
      </w:r>
      <w:r>
        <w:rPr>
          <w:rFonts w:hint="eastAsia"/>
          <w:b/>
          <w:szCs w:val="24"/>
        </w:rPr>
        <w:t>6</w:t>
      </w:r>
      <w:r>
        <w:rPr>
          <w:b/>
          <w:szCs w:val="24"/>
        </w:rPr>
        <w:t xml:space="preserve">.1 </w:t>
      </w:r>
      <w:r>
        <w:rPr>
          <w:rFonts w:hint="eastAsia"/>
          <w:b/>
          <w:szCs w:val="24"/>
        </w:rPr>
        <w:t>详细查询步骤</w:t>
      </w:r>
    </w:p>
    <w:p>
      <w:pPr>
        <w:ind w:firstLine="199" w:firstLineChars="83"/>
        <w:rPr>
          <w:szCs w:val="24"/>
        </w:rPr>
      </w:pPr>
      <w:r>
        <w:rPr>
          <w:rFonts w:hint="eastAsia"/>
          <w:szCs w:val="24"/>
        </w:rPr>
        <w:t>查询方式</w:t>
      </w:r>
      <w:r>
        <w:rPr>
          <w:szCs w:val="24"/>
        </w:rPr>
        <w:t>1</w:t>
      </w:r>
      <w:r>
        <w:rPr>
          <w:rFonts w:hint="eastAsia"/>
          <w:szCs w:val="24"/>
        </w:rPr>
        <w:t>：</w:t>
      </w:r>
    </w:p>
    <w:p>
      <w:pPr>
        <w:pStyle w:val="31"/>
        <w:numPr>
          <w:ilvl w:val="0"/>
          <w:numId w:val="2"/>
        </w:numPr>
        <w:ind w:firstLineChars="0"/>
        <w:rPr>
          <w:szCs w:val="24"/>
        </w:rPr>
      </w:pPr>
      <w:r>
        <w:rPr>
          <w:rFonts w:hint="eastAsia"/>
          <w:szCs w:val="24"/>
        </w:rPr>
        <w:t>输入产品批号：这里输入的是在“产品型号配置”时所写的“产品批号”，每一炉钢有着唯一的产品批号。</w:t>
      </w:r>
    </w:p>
    <w:p>
      <w:pPr>
        <w:pStyle w:val="31"/>
        <w:ind w:left="420" w:firstLineChars="0"/>
        <w:rPr>
          <w:szCs w:val="24"/>
        </w:rPr>
      </w:pPr>
      <w:r>
        <w:rPr>
          <w:rFonts w:hint="eastAsia"/>
          <w:szCs w:val="24"/>
        </w:rPr>
        <w:t>点击查找日期，会查询出测量这一批钢的所有的日期。</w:t>
      </w:r>
    </w:p>
    <w:p>
      <w:pPr>
        <w:pStyle w:val="31"/>
        <w:numPr>
          <w:ilvl w:val="0"/>
          <w:numId w:val="2"/>
        </w:numPr>
        <w:ind w:firstLineChars="0"/>
        <w:rPr>
          <w:szCs w:val="24"/>
        </w:rPr>
      </w:pPr>
      <w:r>
        <w:rPr>
          <w:rFonts w:hint="eastAsia"/>
          <w:szCs w:val="24"/>
        </w:rPr>
        <w:t>在下拉框中选择日期，而后选择开始时间与截止时间，点击“后翻”进行查询。如果</w:t>
      </w:r>
      <w:r>
        <w:rPr>
          <w:szCs w:val="24"/>
        </w:rPr>
        <w:t>有满足条件的查询数据，该数据</w:t>
      </w:r>
      <w:r>
        <w:rPr>
          <w:rFonts w:hint="eastAsia"/>
          <w:szCs w:val="24"/>
        </w:rPr>
        <w:t>会</w:t>
      </w:r>
      <w:r>
        <w:rPr>
          <w:szCs w:val="24"/>
        </w:rPr>
        <w:t>以分屏的方式显示在“</w:t>
      </w:r>
      <w:r>
        <w:rPr>
          <w:rFonts w:hint="eastAsia"/>
        </w:rPr>
        <w:t>历史</w:t>
      </w:r>
      <w:r>
        <w:t>记录</w:t>
      </w:r>
      <w:r>
        <w:rPr>
          <w:rFonts w:hint="eastAsia"/>
        </w:rPr>
        <w:t>查询</w:t>
      </w:r>
      <w:r>
        <w:t>窗口</w:t>
      </w:r>
      <w:r>
        <w:rPr>
          <w:szCs w:val="24"/>
        </w:rPr>
        <w:t>”</w:t>
      </w:r>
      <w:r>
        <w:rPr>
          <w:rFonts w:hint="eastAsia"/>
          <w:szCs w:val="24"/>
        </w:rPr>
        <w:t>。</w:t>
      </w:r>
    </w:p>
    <w:p>
      <w:pPr>
        <w:pStyle w:val="31"/>
        <w:numPr>
          <w:ilvl w:val="0"/>
          <w:numId w:val="2"/>
        </w:numPr>
        <w:ind w:firstLineChars="0"/>
        <w:rPr>
          <w:szCs w:val="24"/>
        </w:rPr>
      </w:pPr>
      <w:r>
        <w:rPr>
          <w:rFonts w:hint="eastAsia"/>
          <w:szCs w:val="24"/>
        </w:rPr>
        <w:t>而后输入</w:t>
      </w:r>
      <w:r>
        <w:rPr>
          <w:szCs w:val="24"/>
        </w:rPr>
        <w:t>目标根号，进行数据回放</w:t>
      </w:r>
      <w:r>
        <w:rPr>
          <w:rFonts w:hint="eastAsia"/>
          <w:szCs w:val="24"/>
        </w:rPr>
        <w:t>。</w:t>
      </w:r>
    </w:p>
    <w:p>
      <w:pPr>
        <w:pStyle w:val="3"/>
      </w:pPr>
      <w:bookmarkStart w:id="185" w:name="_Toc508962382"/>
      <w:bookmarkStart w:id="186" w:name="_Toc534289211"/>
      <w:bookmarkStart w:id="187" w:name="_Toc529970680"/>
      <w:bookmarkStart w:id="188" w:name="_Toc11031"/>
      <w:r>
        <w:rPr>
          <w:rFonts w:hint="eastAsia"/>
          <w:lang w:val="en-US" w:eastAsia="zh-CN"/>
        </w:rPr>
        <w:t>4.7</w:t>
      </w:r>
      <w:r>
        <w:rPr>
          <w:rFonts w:hint="eastAsia"/>
        </w:rPr>
        <w:t>报警开关</w:t>
      </w:r>
      <w:bookmarkEnd w:id="185"/>
      <w:bookmarkEnd w:id="186"/>
      <w:bookmarkEnd w:id="187"/>
      <w:bookmarkEnd w:id="188"/>
    </w:p>
    <w:p>
      <w:pPr>
        <w:ind w:firstLine="600" w:firstLineChars="250"/>
        <w:rPr>
          <w:rFonts w:ascii="宋体" w:hAnsi="宋体"/>
          <w:szCs w:val="21"/>
        </w:rPr>
      </w:pPr>
      <w:r>
        <w:rPr>
          <w:rFonts w:hint="eastAsia" w:ascii="宋体" w:hAnsi="宋体"/>
          <w:szCs w:val="21"/>
        </w:rPr>
        <w:t>如果</w:t>
      </w:r>
      <w:r>
        <w:rPr>
          <w:rFonts w:ascii="宋体" w:hAnsi="宋体"/>
          <w:szCs w:val="21"/>
        </w:rPr>
        <w:t>测量值不在</w:t>
      </w:r>
      <w:r>
        <w:rPr>
          <w:rFonts w:hint="eastAsia" w:ascii="宋体" w:hAnsi="宋体"/>
          <w:szCs w:val="21"/>
        </w:rPr>
        <w:t>该产品</w:t>
      </w:r>
      <w:r>
        <w:rPr>
          <w:rFonts w:ascii="宋体" w:hAnsi="宋体"/>
          <w:szCs w:val="21"/>
        </w:rPr>
        <w:t>型号</w:t>
      </w:r>
      <w:r>
        <w:rPr>
          <w:rFonts w:hint="eastAsia" w:ascii="宋体" w:hAnsi="宋体"/>
          <w:szCs w:val="21"/>
        </w:rPr>
        <w:t>配置范围</w:t>
      </w:r>
      <w:r>
        <w:rPr>
          <w:rFonts w:ascii="宋体" w:hAnsi="宋体"/>
          <w:szCs w:val="21"/>
        </w:rPr>
        <w:t>内，则声光报警，提示产品超差。上超差</w:t>
      </w:r>
      <w:r>
        <w:rPr>
          <w:rFonts w:hint="eastAsia" w:ascii="宋体" w:hAnsi="宋体"/>
          <w:szCs w:val="21"/>
        </w:rPr>
        <w:t>，</w:t>
      </w:r>
      <w:r>
        <w:rPr>
          <w:rFonts w:ascii="宋体" w:hAnsi="宋体"/>
          <w:szCs w:val="21"/>
        </w:rPr>
        <w:t>红灯亮；</w:t>
      </w:r>
      <w:r>
        <w:rPr>
          <w:rFonts w:hint="eastAsia" w:ascii="宋体" w:hAnsi="宋体"/>
          <w:szCs w:val="21"/>
        </w:rPr>
        <w:t>下</w:t>
      </w:r>
      <w:r>
        <w:rPr>
          <w:rFonts w:ascii="宋体" w:hAnsi="宋体"/>
          <w:szCs w:val="21"/>
        </w:rPr>
        <w:t>超差黄灯亮</w:t>
      </w:r>
      <w:r>
        <w:rPr>
          <w:rFonts w:hint="eastAsia" w:ascii="宋体" w:hAnsi="宋体"/>
          <w:szCs w:val="21"/>
        </w:rPr>
        <w:t>。</w:t>
      </w:r>
    </w:p>
    <w:p>
      <w:pPr>
        <w:ind w:firstLine="600" w:firstLineChars="250"/>
        <w:rPr>
          <w:lang w:val="zh-TW"/>
        </w:rPr>
      </w:pPr>
      <w:r>
        <w:rPr>
          <w:rFonts w:hint="eastAsia"/>
        </w:rPr>
        <w:t>当产生报警信号时，</w:t>
      </w:r>
      <w:r>
        <w:rPr>
          <w:rFonts w:hint="eastAsia"/>
          <w:lang w:val="zh-TW"/>
        </w:rPr>
        <w:t>可以通过点击“声音告警”按键关闭声音报警，但不会影响报警灯指示。</w:t>
      </w:r>
    </w:p>
    <w:p>
      <w:pPr>
        <w:ind w:firstLine="600" w:firstLineChars="250"/>
        <w:jc w:val="center"/>
      </w:pPr>
      <w:r>
        <w:drawing>
          <wp:inline distT="0" distB="0" distL="114300" distR="114300">
            <wp:extent cx="1668145" cy="746125"/>
            <wp:effectExtent l="0" t="0" r="8255" b="15875"/>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pic:cNvPicPr>
                  </pic:nvPicPr>
                  <pic:blipFill>
                    <a:blip r:embed="rId28"/>
                    <a:stretch>
                      <a:fillRect/>
                    </a:stretch>
                  </pic:blipFill>
                  <pic:spPr>
                    <a:xfrm>
                      <a:off x="0" y="0"/>
                      <a:ext cx="1668145" cy="746125"/>
                    </a:xfrm>
                    <a:prstGeom prst="rect">
                      <a:avLst/>
                    </a:prstGeom>
                    <a:noFill/>
                    <a:ln w="9525">
                      <a:noFill/>
                    </a:ln>
                  </pic:spPr>
                </pic:pic>
              </a:graphicData>
            </a:graphic>
          </wp:inline>
        </w:drawing>
      </w:r>
    </w:p>
    <w:p>
      <w:pPr>
        <w:ind w:firstLine="600" w:firstLineChars="250"/>
        <w:jc w:val="center"/>
        <w:rPr>
          <w:rFonts w:hint="eastAsia"/>
          <w:lang w:val="zh-TW"/>
        </w:rPr>
      </w:pPr>
    </w:p>
    <w:p>
      <w:pPr>
        <w:pStyle w:val="3"/>
      </w:pPr>
      <w:bookmarkStart w:id="189" w:name="_Toc534289212"/>
      <w:bookmarkStart w:id="190" w:name="_Toc15499"/>
      <w:r>
        <w:rPr>
          <w:rFonts w:hint="eastAsia"/>
          <w:lang w:val="en-US" w:eastAsia="zh-CN"/>
        </w:rPr>
        <w:t>4.8</w:t>
      </w:r>
      <w:r>
        <w:rPr>
          <w:rFonts w:hint="eastAsia"/>
        </w:rPr>
        <w:t>退出软件</w:t>
      </w:r>
      <w:bookmarkEnd w:id="189"/>
      <w:bookmarkEnd w:id="190"/>
    </w:p>
    <w:p>
      <w:pPr>
        <w:ind w:firstLine="480"/>
        <w:rPr>
          <w:rFonts w:hint="eastAsia"/>
        </w:rPr>
      </w:pPr>
      <w:r>
        <w:rPr>
          <w:rFonts w:hint="eastAsia"/>
        </w:rPr>
        <w:t>选择“用户</w:t>
      </w:r>
      <w:r>
        <w:t>管理”</w:t>
      </w:r>
      <w:r>
        <w:rPr>
          <w:rFonts w:hint="eastAsia"/>
        </w:rPr>
        <w:t>菜单</w:t>
      </w:r>
      <w:r>
        <w:t>下“</w:t>
      </w:r>
      <w:r>
        <w:rPr>
          <w:rFonts w:hint="eastAsia"/>
        </w:rPr>
        <w:t>退出</w:t>
      </w:r>
      <w:r>
        <w:t>”</w:t>
      </w:r>
      <w:r>
        <w:rPr>
          <w:rFonts w:hint="eastAsia"/>
        </w:rPr>
        <w:t>，点击</w:t>
      </w:r>
      <w:r>
        <w:t>即可退出软件。</w:t>
      </w:r>
    </w:p>
    <w:p>
      <w:pPr>
        <w:ind w:firstLine="480"/>
        <w:jc w:val="center"/>
      </w:pPr>
      <w:r>
        <w:drawing>
          <wp:inline distT="0" distB="0" distL="114300" distR="114300">
            <wp:extent cx="1170305" cy="935990"/>
            <wp:effectExtent l="0" t="0" r="10795" b="1651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31"/>
                    <a:srcRect l="58174" r="29617" b="82576"/>
                    <a:stretch>
                      <a:fillRect/>
                    </a:stretch>
                  </pic:blipFill>
                  <pic:spPr>
                    <a:xfrm>
                      <a:off x="0" y="0"/>
                      <a:ext cx="1170305" cy="935990"/>
                    </a:xfrm>
                    <a:prstGeom prst="rect">
                      <a:avLst/>
                    </a:prstGeom>
                    <a:noFill/>
                    <a:ln w="9525">
                      <a:noFill/>
                    </a:ln>
                  </pic:spPr>
                </pic:pic>
              </a:graphicData>
            </a:graphic>
          </wp:inline>
        </w:drawing>
      </w:r>
    </w:p>
    <w:p>
      <w:pPr>
        <w:pStyle w:val="3"/>
      </w:pPr>
      <w:bookmarkStart w:id="191" w:name="_Toc27224"/>
      <w:r>
        <w:rPr>
          <w:rFonts w:hint="eastAsia"/>
          <w:lang w:val="en-US" w:eastAsia="zh-CN"/>
        </w:rPr>
        <w:t>4.9</w:t>
      </w:r>
      <w:r>
        <w:rPr>
          <w:rFonts w:hint="eastAsia"/>
        </w:rPr>
        <w:t>下位机</w:t>
      </w:r>
      <w:r>
        <w:t>软件</w:t>
      </w:r>
      <w:bookmarkEnd w:id="191"/>
    </w:p>
    <w:p>
      <w:pPr>
        <w:ind w:firstLine="480"/>
      </w:pPr>
      <w:r>
        <w:rPr>
          <w:rFonts w:hint="eastAsia"/>
        </w:rPr>
        <w:t>本程序</w:t>
      </w:r>
      <w:r>
        <w:t>开机启动，</w:t>
      </w:r>
      <w:r>
        <w:rPr>
          <w:rFonts w:hint="eastAsia"/>
        </w:rPr>
        <w:t>如果</w:t>
      </w:r>
      <w:r>
        <w:t>手动关闭，也可以在</w:t>
      </w:r>
      <w:r>
        <w:rPr>
          <w:rFonts w:hint="eastAsia"/>
        </w:rPr>
        <w:t>主</w:t>
      </w:r>
      <w:r>
        <w:t>界面</w:t>
      </w:r>
      <w:r>
        <w:rPr>
          <w:rFonts w:hint="eastAsia"/>
        </w:rPr>
        <w:t>双机</w:t>
      </w:r>
      <w:r>
        <w:t>SmarX</w:t>
      </w:r>
      <w:r>
        <w:rPr>
          <w:rFonts w:hint="eastAsia"/>
        </w:rPr>
        <w:t>启动</w:t>
      </w:r>
      <w:r>
        <w:t>。</w:t>
      </w:r>
    </w:p>
    <w:p>
      <w:pPr>
        <w:ind w:firstLine="480"/>
        <w:jc w:val="center"/>
        <w:rPr>
          <w:rFonts w:hint="eastAsia"/>
        </w:rPr>
      </w:pPr>
      <w:r>
        <w:rPr>
          <w:rFonts w:hint="eastAsia"/>
        </w:rPr>
        <w:drawing>
          <wp:inline distT="0" distB="0" distL="114300" distR="114300">
            <wp:extent cx="4291330" cy="2520315"/>
            <wp:effectExtent l="0" t="0" r="13970" b="13335"/>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32"/>
                    <a:stretch>
                      <a:fillRect/>
                    </a:stretch>
                  </pic:blipFill>
                  <pic:spPr>
                    <a:xfrm>
                      <a:off x="0" y="0"/>
                      <a:ext cx="4291330" cy="2520315"/>
                    </a:xfrm>
                    <a:prstGeom prst="rect">
                      <a:avLst/>
                    </a:prstGeom>
                    <a:noFill/>
                    <a:ln w="9525">
                      <a:noFill/>
                    </a:ln>
                  </pic:spPr>
                </pic:pic>
              </a:graphicData>
            </a:graphic>
          </wp:inline>
        </w:drawing>
      </w:r>
    </w:p>
    <w:p>
      <w:pPr>
        <w:ind w:firstLine="480"/>
        <w:jc w:val="center"/>
        <w:rPr>
          <w:rFonts w:hint="eastAsia"/>
        </w:rPr>
      </w:pPr>
    </w:p>
    <w:p>
      <w:pPr>
        <w:pStyle w:val="3"/>
        <w:numPr>
          <w:ilvl w:val="0"/>
          <w:numId w:val="0"/>
        </w:numPr>
        <w:spacing w:before="156" w:after="156"/>
        <w:ind w:leftChars="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4"/>
      </w:pPr>
      <w:r>
        <w:rPr>
          <w:rFonts w:hint="eastAsia"/>
          <w:lang w:val="en-US" w:eastAsia="zh-CN"/>
        </w:rPr>
        <w:t>4.9.1</w:t>
      </w:r>
      <w:r>
        <w:rPr>
          <w:rFonts w:hint="eastAsia"/>
        </w:rPr>
        <w:t>程序</w:t>
      </w:r>
      <w:r>
        <w:t>主</w:t>
      </w:r>
      <w:r>
        <w:rPr>
          <w:rFonts w:hint="eastAsia"/>
        </w:rPr>
        <w:t>窗口</w:t>
      </w:r>
    </w:p>
    <w:p>
      <w:pPr>
        <w:ind w:left="840" w:firstLine="0" w:firstLineChars="0"/>
        <w:jc w:val="center"/>
        <w:rPr>
          <w:rFonts w:hint="eastAsia"/>
        </w:rPr>
      </w:pPr>
      <w:r>
        <w:drawing>
          <wp:inline distT="0" distB="0" distL="114300" distR="114300">
            <wp:extent cx="3764915" cy="2217420"/>
            <wp:effectExtent l="0" t="0" r="6985" b="11430"/>
            <wp:docPr id="6" name="图片 22" descr="lALPDhmOtPv4yh3NAljNBAA_1024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descr="lALPDhmOtPv4yh3NAljNBAA_1024_600"/>
                    <pic:cNvPicPr>
                      <a:picLocks noChangeAspect="1"/>
                    </pic:cNvPicPr>
                  </pic:nvPicPr>
                  <pic:blipFill>
                    <a:blip r:embed="rId33"/>
                    <a:stretch>
                      <a:fillRect/>
                    </a:stretch>
                  </pic:blipFill>
                  <pic:spPr>
                    <a:xfrm>
                      <a:off x="0" y="0"/>
                      <a:ext cx="3764915" cy="2217420"/>
                    </a:xfrm>
                    <a:prstGeom prst="rect">
                      <a:avLst/>
                    </a:prstGeom>
                    <a:noFill/>
                    <a:ln w="9525">
                      <a:noFill/>
                    </a:ln>
                  </pic:spPr>
                </pic:pic>
              </a:graphicData>
            </a:graphic>
          </wp:inline>
        </w:drawing>
      </w:r>
    </w:p>
    <w:p>
      <w:pPr>
        <w:pStyle w:val="4"/>
      </w:pPr>
      <w:r>
        <w:rPr>
          <w:rFonts w:hint="eastAsia"/>
          <w:lang w:val="en-US" w:eastAsia="zh-CN"/>
        </w:rPr>
        <w:t>4.9.2</w:t>
      </w:r>
      <w:r>
        <w:rPr>
          <w:rFonts w:hint="eastAsia"/>
        </w:rPr>
        <w:t>配置窗口</w:t>
      </w:r>
    </w:p>
    <w:p>
      <w:pPr>
        <w:ind w:firstLine="480"/>
        <w:rPr>
          <w:rFonts w:hint="eastAsia"/>
        </w:rPr>
      </w:pPr>
      <w:r>
        <w:rPr>
          <w:rFonts w:hint="eastAsia"/>
        </w:rPr>
        <w:t>用于</w:t>
      </w:r>
      <w:r>
        <w:t>设置</w:t>
      </w:r>
      <w:r>
        <w:rPr>
          <w:rFonts w:hint="eastAsia"/>
        </w:rPr>
        <w:t>上位机</w:t>
      </w:r>
      <w:r>
        <w:t>IP地址和端口，以及本程序</w:t>
      </w:r>
      <w:r>
        <w:rPr>
          <w:rFonts w:hint="eastAsia"/>
        </w:rPr>
        <w:t>主界面</w:t>
      </w:r>
      <w:r>
        <w:t>数据刷新时间间隔</w:t>
      </w:r>
      <w:r>
        <w:rPr>
          <w:rFonts w:hint="eastAsia"/>
        </w:rPr>
        <w:t>（单位</w:t>
      </w:r>
      <w:r>
        <w:t>ms）。</w:t>
      </w:r>
    </w:p>
    <w:p>
      <w:pPr>
        <w:ind w:firstLine="480"/>
        <w:jc w:val="center"/>
      </w:pPr>
      <w:r>
        <w:drawing>
          <wp:inline distT="0" distB="0" distL="114300" distR="114300">
            <wp:extent cx="3648075" cy="2131695"/>
            <wp:effectExtent l="0" t="0" r="9525" b="1905"/>
            <wp:docPr id="22" name="图片 23" descr="lALPDgfLO8QYSh7NAljNBAA_1024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lALPDgfLO8QYSh7NAljNBAA_1024_600"/>
                    <pic:cNvPicPr>
                      <a:picLocks noChangeAspect="1"/>
                    </pic:cNvPicPr>
                  </pic:nvPicPr>
                  <pic:blipFill>
                    <a:blip r:embed="rId34"/>
                    <a:stretch>
                      <a:fillRect/>
                    </a:stretch>
                  </pic:blipFill>
                  <pic:spPr>
                    <a:xfrm>
                      <a:off x="0" y="0"/>
                      <a:ext cx="3648075" cy="2131695"/>
                    </a:xfrm>
                    <a:prstGeom prst="rect">
                      <a:avLst/>
                    </a:prstGeom>
                    <a:noFill/>
                    <a:ln w="9525">
                      <a:noFill/>
                    </a:ln>
                  </pic:spPr>
                </pic:pic>
              </a:graphicData>
            </a:graphic>
          </wp:inline>
        </w:drawing>
      </w:r>
    </w:p>
    <w:p>
      <w:pPr>
        <w:ind w:firstLine="480"/>
        <w:jc w:val="center"/>
        <w:rPr>
          <w:rFonts w:hint="eastAsia"/>
        </w:rPr>
      </w:pPr>
    </w:p>
    <w:p>
      <w:pPr>
        <w:pStyle w:val="4"/>
      </w:pPr>
      <w:r>
        <w:rPr>
          <w:rFonts w:hint="eastAsia"/>
          <w:lang w:val="en-US" w:eastAsia="zh-CN"/>
        </w:rPr>
        <w:t>4.9.3</w:t>
      </w:r>
      <w:r>
        <w:rPr>
          <w:rFonts w:hint="eastAsia"/>
        </w:rPr>
        <w:t>校准</w:t>
      </w:r>
      <w:r>
        <w:t>窗口</w:t>
      </w:r>
    </w:p>
    <w:p>
      <w:pPr>
        <w:ind w:firstLine="480"/>
      </w:pPr>
      <w:r>
        <w:rPr>
          <w:rFonts w:hint="eastAsia"/>
        </w:rPr>
        <w:t>用于针对</w:t>
      </w:r>
      <w:r>
        <w:t>不同的产品型号，对各路进行校准。</w:t>
      </w:r>
    </w:p>
    <w:p>
      <w:pPr>
        <w:ind w:firstLine="482"/>
        <w:rPr>
          <w:rFonts w:hint="eastAsia"/>
        </w:rPr>
      </w:pPr>
      <w:r>
        <w:rPr>
          <w:rFonts w:hint="eastAsia"/>
          <w:b/>
          <w:color w:val="FF0000"/>
        </w:rPr>
        <w:t>注意</w:t>
      </w:r>
      <w:r>
        <w:rPr>
          <w:b/>
          <w:color w:val="FF0000"/>
        </w:rPr>
        <w:t>：由于</w:t>
      </w:r>
      <w:r>
        <w:rPr>
          <w:rFonts w:hint="eastAsia"/>
          <w:b/>
          <w:color w:val="FF0000"/>
        </w:rPr>
        <w:t>在</w:t>
      </w:r>
      <w:r>
        <w:rPr>
          <w:b/>
          <w:color w:val="FF0000"/>
        </w:rPr>
        <w:t>本</w:t>
      </w:r>
      <w:r>
        <w:rPr>
          <w:rFonts w:hint="eastAsia"/>
          <w:b/>
          <w:color w:val="FF0000"/>
        </w:rPr>
        <w:t>程序</w:t>
      </w:r>
      <w:r>
        <w:rPr>
          <w:b/>
          <w:color w:val="FF0000"/>
        </w:rPr>
        <w:t>输入操作不方便，所以在</w:t>
      </w:r>
      <w:r>
        <w:rPr>
          <w:rFonts w:hint="eastAsia"/>
          <w:b/>
          <w:color w:val="FF0000"/>
        </w:rPr>
        <w:t>校准前</w:t>
      </w:r>
      <w:r>
        <w:rPr>
          <w:b/>
          <w:color w:val="FF0000"/>
        </w:rPr>
        <w:t>，需要在上位机配置好需要校准的产品名称。</w:t>
      </w:r>
    </w:p>
    <w:p>
      <w:pPr>
        <w:ind w:firstLine="480"/>
      </w:pPr>
      <w:r>
        <w:rPr>
          <w:rFonts w:hint="eastAsia"/>
        </w:rPr>
        <w:t>点击</w:t>
      </w:r>
      <w:r>
        <w:t>主界面的</w:t>
      </w:r>
      <w:r>
        <w:rPr>
          <w:rFonts w:hint="eastAsia"/>
        </w:rPr>
        <w:t>“校准</w:t>
      </w:r>
      <w:r>
        <w:t>”</w:t>
      </w:r>
      <w:r>
        <w:rPr>
          <w:rFonts w:hint="eastAsia"/>
        </w:rPr>
        <w:t>按钮</w:t>
      </w:r>
      <w:r>
        <w:t>，进入</w:t>
      </w:r>
      <w:r>
        <w:rPr>
          <w:rFonts w:hint="eastAsia"/>
        </w:rPr>
        <w:t>窗口。</w:t>
      </w:r>
    </w:p>
    <w:p>
      <w:pPr>
        <w:ind w:firstLine="480"/>
        <w:rPr>
          <w:rFonts w:hint="eastAsia"/>
        </w:rPr>
      </w:pPr>
      <w:r>
        <w:rPr>
          <w:rFonts w:hint="eastAsia"/>
        </w:rPr>
        <w:t>校准</w:t>
      </w:r>
      <w:r>
        <w:t>过程：</w:t>
      </w:r>
      <w:r>
        <w:rPr>
          <w:rFonts w:hint="eastAsia"/>
        </w:rPr>
        <w:t>（1</w:t>
      </w:r>
      <w:r>
        <w:t>）设备测量位置</w:t>
      </w:r>
      <w:r>
        <w:rPr>
          <w:rFonts w:hint="eastAsia"/>
        </w:rPr>
        <w:t>放置</w:t>
      </w:r>
      <w:r>
        <w:t>标准棒</w:t>
      </w:r>
      <w:r>
        <w:rPr>
          <w:rFonts w:hint="eastAsia"/>
        </w:rPr>
        <w:t>（2</w:t>
      </w:r>
      <w:r>
        <w:t>）</w:t>
      </w:r>
      <w:r>
        <w:rPr>
          <w:rFonts w:hint="eastAsia"/>
        </w:rPr>
        <w:t>选择</w:t>
      </w:r>
      <w:r>
        <w:t>对应产品名称（</w:t>
      </w:r>
      <w:r>
        <w:rPr>
          <w:rFonts w:hint="eastAsia"/>
        </w:rPr>
        <w:t>3</w:t>
      </w:r>
      <w:r>
        <w:t>）</w:t>
      </w:r>
      <w:r>
        <w:rPr>
          <w:rFonts w:hint="eastAsia"/>
        </w:rPr>
        <w:t>程序</w:t>
      </w:r>
      <w:r>
        <w:t>读取采样值并自动计算出校准值，填入到对应校准窗口（</w:t>
      </w:r>
      <w:r>
        <w:rPr>
          <w:rFonts w:hint="eastAsia"/>
        </w:rPr>
        <w:t>4</w:t>
      </w:r>
      <w:r>
        <w:t>）</w:t>
      </w:r>
      <w:r>
        <w:rPr>
          <w:rFonts w:hint="eastAsia"/>
        </w:rPr>
        <w:t>可选</w:t>
      </w:r>
      <w:r>
        <w:t>手动修改校准值（</w:t>
      </w:r>
      <w:r>
        <w:rPr>
          <w:rFonts w:hint="eastAsia"/>
        </w:rPr>
        <w:t>5</w:t>
      </w:r>
      <w:r>
        <w:t>）</w:t>
      </w:r>
      <w:r>
        <w:rPr>
          <w:rFonts w:hint="eastAsia"/>
        </w:rPr>
        <w:t>点击</w:t>
      </w:r>
      <w:r>
        <w:t>对应校准，进行某一路通道的校准，也可以</w:t>
      </w:r>
      <w:r>
        <w:rPr>
          <w:rFonts w:hint="eastAsia"/>
        </w:rPr>
        <w:t>选择</w:t>
      </w:r>
      <w:r>
        <w:t>标准棒值后面的“</w:t>
      </w:r>
      <w:r>
        <w:rPr>
          <w:rFonts w:hint="eastAsia"/>
        </w:rPr>
        <w:t>校准</w:t>
      </w:r>
      <w:r>
        <w:t>”</w:t>
      </w:r>
      <w:r>
        <w:rPr>
          <w:rFonts w:hint="eastAsia"/>
        </w:rPr>
        <w:t>统一校准</w:t>
      </w:r>
      <w:r>
        <w:t>。</w:t>
      </w:r>
    </w:p>
    <w:p>
      <w:pPr>
        <w:ind w:firstLine="480"/>
        <w:jc w:val="center"/>
      </w:pPr>
      <w:r>
        <w:drawing>
          <wp:inline distT="0" distB="0" distL="114300" distR="114300">
            <wp:extent cx="3745230" cy="2188845"/>
            <wp:effectExtent l="0" t="0" r="7620" b="1905"/>
            <wp:docPr id="20" name="图片 24" descr="lALPDiCpskWG_kvNAljNBAA_1024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lALPDiCpskWG_kvNAljNBAA_1024_600"/>
                    <pic:cNvPicPr>
                      <a:picLocks noChangeAspect="1"/>
                    </pic:cNvPicPr>
                  </pic:nvPicPr>
                  <pic:blipFill>
                    <a:blip r:embed="rId35"/>
                    <a:stretch>
                      <a:fillRect/>
                    </a:stretch>
                  </pic:blipFill>
                  <pic:spPr>
                    <a:xfrm>
                      <a:off x="0" y="0"/>
                      <a:ext cx="3745230" cy="2188845"/>
                    </a:xfrm>
                    <a:prstGeom prst="rect">
                      <a:avLst/>
                    </a:prstGeom>
                    <a:noFill/>
                    <a:ln w="9525">
                      <a:noFill/>
                    </a:ln>
                  </pic:spPr>
                </pic:pic>
              </a:graphicData>
            </a:graphic>
          </wp:inline>
        </w:drawing>
      </w:r>
    </w:p>
    <w:p>
      <w:pPr>
        <w:pStyle w:val="4"/>
      </w:pPr>
      <w:r>
        <w:rPr>
          <w:rFonts w:hint="eastAsia"/>
          <w:lang w:val="en-US" w:eastAsia="zh-CN"/>
        </w:rPr>
        <w:t>4.9.4</w:t>
      </w:r>
      <w:r>
        <w:rPr>
          <w:rFonts w:hint="eastAsia"/>
        </w:rPr>
        <w:t>通道</w:t>
      </w:r>
      <w:r>
        <w:t>开关窗口</w:t>
      </w:r>
    </w:p>
    <w:p>
      <w:pPr>
        <w:ind w:firstLine="480"/>
      </w:pPr>
      <w:r>
        <w:rPr>
          <w:rFonts w:hint="eastAsia"/>
        </w:rPr>
        <w:t>用于显示</w:t>
      </w:r>
      <w:r>
        <w:t>和设置通道</w:t>
      </w:r>
      <w:r>
        <w:rPr>
          <w:rFonts w:hint="eastAsia"/>
        </w:rPr>
        <w:t>的</w:t>
      </w:r>
      <w:r>
        <w:t>状态，关闭的</w:t>
      </w:r>
      <w:r>
        <w:rPr>
          <w:rFonts w:hint="eastAsia"/>
        </w:rPr>
        <w:t>通道</w:t>
      </w:r>
      <w:r>
        <w:t>将不</w:t>
      </w:r>
      <w:r>
        <w:rPr>
          <w:rFonts w:hint="eastAsia"/>
        </w:rPr>
        <w:t>进行</w:t>
      </w:r>
      <w:r>
        <w:t>采集和显示。</w:t>
      </w:r>
    </w:p>
    <w:p>
      <w:pPr>
        <w:ind w:firstLine="482"/>
        <w:rPr>
          <w:rFonts w:hint="eastAsia"/>
          <w:b/>
          <w:color w:val="FF0000"/>
        </w:rPr>
      </w:pPr>
      <w:r>
        <w:rPr>
          <w:rFonts w:hint="eastAsia"/>
          <w:b/>
          <w:color w:val="FF0000"/>
        </w:rPr>
        <w:t>注意</w:t>
      </w:r>
      <w:r>
        <w:rPr>
          <w:b/>
          <w:color w:val="FF0000"/>
        </w:rPr>
        <w:t>：若非故障，请不要关闭端口。</w:t>
      </w:r>
    </w:p>
    <w:p>
      <w:pPr>
        <w:ind w:firstLine="480"/>
        <w:jc w:val="center"/>
      </w:pPr>
      <w:r>
        <w:drawing>
          <wp:inline distT="0" distB="0" distL="114300" distR="114300">
            <wp:extent cx="3901440" cy="2286000"/>
            <wp:effectExtent l="0" t="0" r="3810" b="0"/>
            <wp:docPr id="21" name="图片 25" descr="lALPDiQ3MOqLJuDNAljNBAA_1024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lALPDiQ3MOqLJuDNAljNBAA_1024_600"/>
                    <pic:cNvPicPr>
                      <a:picLocks noChangeAspect="1"/>
                    </pic:cNvPicPr>
                  </pic:nvPicPr>
                  <pic:blipFill>
                    <a:blip r:embed="rId36"/>
                    <a:stretch>
                      <a:fillRect/>
                    </a:stretch>
                  </pic:blipFill>
                  <pic:spPr>
                    <a:xfrm>
                      <a:off x="0" y="0"/>
                      <a:ext cx="3901440" cy="2286000"/>
                    </a:xfrm>
                    <a:prstGeom prst="rect">
                      <a:avLst/>
                    </a:prstGeom>
                    <a:noFill/>
                    <a:ln w="9525">
                      <a:noFill/>
                    </a:ln>
                  </pic:spPr>
                </pic:pic>
              </a:graphicData>
            </a:graphic>
          </wp:inline>
        </w:drawing>
      </w:r>
    </w:p>
    <w:p>
      <w:pPr>
        <w:pStyle w:val="4"/>
      </w:pPr>
      <w:r>
        <w:rPr>
          <w:rFonts w:hint="eastAsia"/>
          <w:lang w:val="en-US" w:eastAsia="zh-CN"/>
        </w:rPr>
        <w:t>4.9.5</w:t>
      </w:r>
      <w:r>
        <w:rPr>
          <w:rFonts w:hint="eastAsia"/>
        </w:rPr>
        <w:t>膨胀</w:t>
      </w:r>
      <w:r>
        <w:t>系数窗口</w:t>
      </w:r>
    </w:p>
    <w:p>
      <w:pPr>
        <w:ind w:firstLine="480"/>
      </w:pPr>
      <w:r>
        <w:rPr>
          <w:rFonts w:hint="eastAsia"/>
        </w:rPr>
        <w:t>用于</w:t>
      </w:r>
      <w:r>
        <w:t>设置和显示膨胀系数表。</w:t>
      </w:r>
    </w:p>
    <w:p>
      <w:pPr>
        <w:ind w:firstLine="480"/>
      </w:pPr>
      <w:r>
        <w:rPr>
          <w:rFonts w:hint="eastAsia"/>
        </w:rPr>
        <w:t>设置</w:t>
      </w:r>
      <w:r>
        <w:t>的</w:t>
      </w:r>
      <w:r>
        <w:rPr>
          <w:rFonts w:hint="eastAsia"/>
        </w:rPr>
        <w:t>膨胀</w:t>
      </w:r>
      <w:r>
        <w:t>系数，会用于计算钢材的测量尺寸。</w:t>
      </w:r>
    </w:p>
    <w:p>
      <w:pPr>
        <w:ind w:firstLine="480"/>
        <w:rPr>
          <w:rFonts w:hint="eastAsia"/>
        </w:rPr>
      </w:pPr>
      <w:r>
        <w:rPr>
          <w:rFonts w:hint="eastAsia"/>
        </w:rPr>
        <w:t>注意</w:t>
      </w:r>
      <w:r>
        <w:t>：</w:t>
      </w:r>
      <w:r>
        <w:rPr>
          <w:rFonts w:hint="eastAsia"/>
        </w:rPr>
        <w:t>（1</w:t>
      </w:r>
      <w:r>
        <w:t>）设置的温度</w:t>
      </w:r>
      <w:r>
        <w:rPr>
          <w:rFonts w:hint="eastAsia"/>
        </w:rPr>
        <w:t>要</w:t>
      </w:r>
      <w:r>
        <w:t>涵盖所有可能的温度范围，</w:t>
      </w:r>
      <w:r>
        <w:rPr>
          <w:rFonts w:hint="eastAsia"/>
        </w:rPr>
        <w:t>避免遗漏</w:t>
      </w:r>
      <w:r>
        <w:t>导致计算出错。</w:t>
      </w:r>
      <w:r>
        <w:rPr>
          <w:rFonts w:hint="eastAsia"/>
        </w:rPr>
        <w:t>（2</w:t>
      </w:r>
      <w:r>
        <w:t>）注意温度</w:t>
      </w:r>
      <w:r>
        <w:rPr>
          <w:rFonts w:hint="eastAsia"/>
        </w:rPr>
        <w:t>范围</w:t>
      </w:r>
      <w:r>
        <w:t>，顺序逐渐增加。</w:t>
      </w:r>
    </w:p>
    <w:p>
      <w:pPr>
        <w:ind w:firstLine="480"/>
        <w:jc w:val="center"/>
      </w:pPr>
      <w:r>
        <w:drawing>
          <wp:inline distT="0" distB="0" distL="114300" distR="114300">
            <wp:extent cx="3774440" cy="2217420"/>
            <wp:effectExtent l="0" t="0" r="16510" b="11430"/>
            <wp:docPr id="23" name="图片 26" descr="lALPDgfLO8QfiTrNAljNBAA_1024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lALPDgfLO8QfiTrNAljNBAA_1024_600"/>
                    <pic:cNvPicPr>
                      <a:picLocks noChangeAspect="1"/>
                    </pic:cNvPicPr>
                  </pic:nvPicPr>
                  <pic:blipFill>
                    <a:blip r:embed="rId37"/>
                    <a:stretch>
                      <a:fillRect/>
                    </a:stretch>
                  </pic:blipFill>
                  <pic:spPr>
                    <a:xfrm>
                      <a:off x="0" y="0"/>
                      <a:ext cx="3774440" cy="2217420"/>
                    </a:xfrm>
                    <a:prstGeom prst="rect">
                      <a:avLst/>
                    </a:prstGeom>
                    <a:noFill/>
                    <a:ln w="9525">
                      <a:noFill/>
                    </a:ln>
                  </pic:spPr>
                </pic:pic>
              </a:graphicData>
            </a:graphic>
          </wp:inline>
        </w:drawing>
      </w:r>
    </w:p>
    <w:p>
      <w:pPr>
        <w:pStyle w:val="3"/>
      </w:pPr>
      <w:bookmarkStart w:id="192" w:name="_Toc15143"/>
      <w:r>
        <w:rPr>
          <w:rFonts w:hint="eastAsia"/>
          <w:lang w:val="en-US" w:eastAsia="zh-CN"/>
        </w:rPr>
        <w:t>4.10</w:t>
      </w:r>
      <w:r>
        <w:rPr>
          <w:rFonts w:hint="eastAsia"/>
        </w:rPr>
        <w:t>帮助</w:t>
      </w:r>
      <w:bookmarkEnd w:id="192"/>
    </w:p>
    <w:p>
      <w:pPr>
        <w:ind w:firstLine="480"/>
      </w:pPr>
      <w:r>
        <w:rPr>
          <w:rFonts w:hint="eastAsia"/>
        </w:rPr>
        <w:t>为</w:t>
      </w:r>
      <w:r>
        <w:t>提升客户体验，实现客户利益最大化，</w:t>
      </w:r>
      <w:r>
        <w:rPr>
          <w:rFonts w:hint="eastAsia"/>
        </w:rPr>
        <w:t>本公司</w:t>
      </w:r>
      <w:r>
        <w:t>会对产品进行不定期的</w:t>
      </w:r>
      <w:r>
        <w:rPr>
          <w:rFonts w:hint="eastAsia"/>
        </w:rPr>
        <w:t>升级</w:t>
      </w:r>
      <w:r>
        <w:t>、更新</w:t>
      </w:r>
      <w:r>
        <w:rPr>
          <w:rFonts w:hint="eastAsia"/>
        </w:rPr>
        <w:t>，可能</w:t>
      </w:r>
      <w:r>
        <w:t>会出现文档和软件不一致情况，</w:t>
      </w:r>
      <w:r>
        <w:rPr>
          <w:rFonts w:hint="eastAsia"/>
        </w:rPr>
        <w:t>另外</w:t>
      </w:r>
      <w:r>
        <w:t>文档编写</w:t>
      </w:r>
      <w:r>
        <w:rPr>
          <w:rFonts w:hint="eastAsia"/>
        </w:rPr>
        <w:t>难免</w:t>
      </w:r>
      <w:r>
        <w:t>出错，</w:t>
      </w:r>
      <w:r>
        <w:rPr>
          <w:rFonts w:hint="eastAsia"/>
        </w:rPr>
        <w:t>敬请</w:t>
      </w:r>
      <w:r>
        <w:t>指正。</w:t>
      </w:r>
    </w:p>
    <w:p>
      <w:pPr>
        <w:ind w:firstLine="480"/>
        <w:rPr>
          <w:rFonts w:hint="eastAsia"/>
        </w:rPr>
      </w:pPr>
      <w:r>
        <w:rPr>
          <w:rFonts w:hint="eastAsia"/>
        </w:rPr>
        <w:t>产品</w:t>
      </w:r>
      <w:r>
        <w:t>使用过程中若有不详之处，请联系本公司获取最新文档，或</w:t>
      </w:r>
      <w:r>
        <w:rPr>
          <w:rFonts w:hint="eastAsia"/>
        </w:rPr>
        <w:t>申请技术</w:t>
      </w:r>
      <w:r>
        <w:t>支持</w:t>
      </w:r>
      <w:r>
        <w:rPr>
          <w:rFonts w:hint="eastAsia"/>
        </w:rPr>
        <w:t>。</w:t>
      </w:r>
    </w:p>
    <w:p>
      <w:pPr>
        <w:ind w:left="360" w:firstLine="480"/>
      </w:pPr>
    </w:p>
    <w:p>
      <w:pPr>
        <w:ind w:left="360" w:firstLine="480"/>
      </w:pPr>
    </w:p>
    <w:p>
      <w:pPr>
        <w:ind w:left="360" w:firstLine="480"/>
      </w:pPr>
    </w:p>
    <w:p>
      <w:pPr>
        <w:ind w:firstLine="480"/>
      </w:pPr>
      <w:r>
        <w:tab/>
      </w:r>
    </w:p>
    <w:p>
      <w:pPr>
        <w:ind w:firstLine="480"/>
      </w:pPr>
    </w:p>
    <w:p>
      <w:pPr>
        <w:pStyle w:val="2"/>
      </w:pPr>
      <w:bookmarkStart w:id="193" w:name="_Toc30726"/>
      <w:r>
        <w:rPr>
          <w:rFonts w:hint="eastAsia"/>
        </w:rPr>
        <w:t>5.设备操作规程</w:t>
      </w:r>
      <w:bookmarkEnd w:id="167"/>
      <w:bookmarkEnd w:id="193"/>
    </w:p>
    <w:p>
      <w:pPr>
        <w:pStyle w:val="3"/>
      </w:pPr>
      <w:bookmarkStart w:id="194" w:name="_Toc12572"/>
      <w:bookmarkStart w:id="195" w:name="_Toc14773"/>
      <w:r>
        <w:rPr>
          <w:rFonts w:hint="eastAsia"/>
        </w:rPr>
        <w:t>5.1开机</w:t>
      </w:r>
      <w:bookmarkEnd w:id="168"/>
      <w:bookmarkEnd w:id="169"/>
      <w:bookmarkEnd w:id="170"/>
      <w:bookmarkEnd w:id="171"/>
      <w:bookmarkEnd w:id="194"/>
      <w:bookmarkEnd w:id="195"/>
    </w:p>
    <w:p>
      <w:pPr>
        <w:spacing w:line="360" w:lineRule="auto"/>
        <w:ind w:firstLine="480"/>
        <w:rPr>
          <w:rFonts w:ascii="仿宋_GB2312" w:eastAsia="仿宋_GB2312"/>
        </w:rPr>
      </w:pPr>
      <w:r>
        <w:rPr>
          <w:rFonts w:hint="eastAsia" w:ascii="仿宋_GB2312" w:eastAsia="仿宋_GB2312"/>
        </w:rPr>
        <w:t>◆确认交流稳压源接通电源。</w:t>
      </w:r>
    </w:p>
    <w:p>
      <w:pPr>
        <w:spacing w:line="360" w:lineRule="auto"/>
        <w:ind w:firstLine="480"/>
        <w:rPr>
          <w:rFonts w:ascii="仿宋_GB2312" w:eastAsia="仿宋_GB2312"/>
        </w:rPr>
      </w:pPr>
      <w:r>
        <w:rPr>
          <w:rFonts w:hint="eastAsia" w:ascii="仿宋_GB2312" w:eastAsia="仿宋_GB2312"/>
        </w:rPr>
        <w:t>◆打开交流稳压源，为控制柜供电。</w:t>
      </w:r>
    </w:p>
    <w:p>
      <w:pPr>
        <w:spacing w:line="360" w:lineRule="auto"/>
        <w:ind w:firstLine="480"/>
        <w:rPr>
          <w:rFonts w:ascii="仿宋_GB2312" w:eastAsia="仿宋_GB2312"/>
        </w:rPr>
      </w:pPr>
      <w:r>
        <w:rPr>
          <w:rFonts w:hint="eastAsia" w:ascii="仿宋_GB2312" w:eastAsia="仿宋_GB2312"/>
        </w:rPr>
        <w:t>◆按下主控机柜面板上“工作开”按钮，给测量车供电。</w:t>
      </w:r>
    </w:p>
    <w:p>
      <w:pPr>
        <w:spacing w:line="360" w:lineRule="auto"/>
        <w:ind w:firstLine="480"/>
        <w:rPr>
          <w:rFonts w:ascii="仿宋_GB2312" w:eastAsia="仿宋_GB2312"/>
        </w:rPr>
      </w:pPr>
      <w:r>
        <w:rPr>
          <w:rFonts w:hint="eastAsia" w:ascii="仿宋_GB2312" w:eastAsia="仿宋_GB2312"/>
        </w:rPr>
        <w:t>◆先打开控制柜门，再打开工控机的前端小门，按下电源开关，工控机开机。</w:t>
      </w:r>
    </w:p>
    <w:p>
      <w:pPr>
        <w:pStyle w:val="3"/>
      </w:pPr>
      <w:bookmarkStart w:id="196" w:name="_Toc15813"/>
      <w:bookmarkStart w:id="197" w:name="_Toc794"/>
      <w:bookmarkStart w:id="198" w:name="_Toc14720"/>
      <w:bookmarkStart w:id="199" w:name="_Toc13804"/>
      <w:bookmarkStart w:id="200" w:name="_Toc14641"/>
      <w:bookmarkStart w:id="201" w:name="_Toc497307484"/>
      <w:r>
        <w:rPr>
          <w:rFonts w:hint="eastAsia"/>
        </w:rPr>
        <w:t>5.2打开测量软件</w:t>
      </w:r>
      <w:bookmarkEnd w:id="196"/>
      <w:bookmarkEnd w:id="197"/>
      <w:bookmarkEnd w:id="198"/>
      <w:bookmarkEnd w:id="199"/>
      <w:bookmarkEnd w:id="200"/>
      <w:bookmarkEnd w:id="201"/>
    </w:p>
    <w:p>
      <w:pPr>
        <w:spacing w:line="360" w:lineRule="auto"/>
        <w:ind w:firstLine="480"/>
        <w:rPr>
          <w:rFonts w:ascii="仿宋_GB2312" w:eastAsia="仿宋_GB2312"/>
        </w:rPr>
      </w:pPr>
      <w:r>
        <w:rPr>
          <w:rFonts w:hint="eastAsia" w:ascii="仿宋_GB2312" w:eastAsia="仿宋_GB2312"/>
        </w:rPr>
        <w:t>双击工控机桌面上快捷方式图标，激活“蓝鹏圆钢测控系统”。</w:t>
      </w:r>
    </w:p>
    <w:p>
      <w:pPr>
        <w:pStyle w:val="3"/>
      </w:pPr>
      <w:bookmarkStart w:id="202" w:name="_Toc17112"/>
      <w:bookmarkStart w:id="203" w:name="_Toc19657"/>
      <w:bookmarkStart w:id="204" w:name="_Toc9950"/>
      <w:bookmarkStart w:id="205" w:name="_Toc19176"/>
      <w:bookmarkStart w:id="206" w:name="_Toc9423"/>
      <w:bookmarkStart w:id="207" w:name="_Toc497307485"/>
      <w:r>
        <w:rPr>
          <w:rFonts w:hint="eastAsia"/>
        </w:rPr>
        <w:t>5.3产品参数的设定、读取和保存</w:t>
      </w:r>
      <w:bookmarkEnd w:id="202"/>
      <w:bookmarkEnd w:id="203"/>
      <w:bookmarkEnd w:id="204"/>
      <w:bookmarkEnd w:id="205"/>
      <w:bookmarkEnd w:id="206"/>
      <w:bookmarkEnd w:id="207"/>
    </w:p>
    <w:p>
      <w:pPr>
        <w:spacing w:line="360" w:lineRule="auto"/>
        <w:ind w:firstLine="480"/>
        <w:rPr>
          <w:rFonts w:ascii="仿宋_GB2312" w:eastAsia="仿宋_GB2312"/>
        </w:rPr>
      </w:pPr>
      <w:r>
        <w:rPr>
          <w:rFonts w:hint="eastAsia" w:ascii="仿宋_GB2312" w:eastAsia="仿宋_GB2312"/>
        </w:rPr>
        <w:t>进入测控系统主界面后，首先要设定即将轧制线、棒材的有关参数。</w:t>
      </w:r>
    </w:p>
    <w:p>
      <w:pPr>
        <w:spacing w:line="360" w:lineRule="auto"/>
        <w:ind w:firstLine="480"/>
        <w:rPr>
          <w:rFonts w:ascii="仿宋_GB2312" w:eastAsia="仿宋_GB2312"/>
        </w:rPr>
      </w:pPr>
      <w:r>
        <w:rPr>
          <w:rFonts w:hint="eastAsia" w:ascii="仿宋_GB2312" w:eastAsia="仿宋_GB2312"/>
        </w:rPr>
        <w:t>◆点击菜单“产品参数</w:t>
      </w:r>
      <w:r>
        <w:rPr>
          <w:rFonts w:hint="eastAsia" w:ascii="仿宋_GB2312" w:eastAsia="仿宋_GB2312"/>
        </w:rPr>
        <w:sym w:font="Wingdings" w:char="F0E0"/>
      </w:r>
      <w:r>
        <w:rPr>
          <w:rFonts w:hint="eastAsia" w:ascii="仿宋_GB2312" w:eastAsia="仿宋_GB2312"/>
        </w:rPr>
        <w:t>产品参数”，弹出“产品参数设定”对话框，根据实际情况，将测量所用参数填入对应文本框内，点击“确定”按钮，选择“更新”或“新增”模型即可。如果所填数据不符合上述条件，将弹出错误对话框，提示改正。</w:t>
      </w:r>
    </w:p>
    <w:p>
      <w:pPr>
        <w:spacing w:line="360" w:lineRule="auto"/>
        <w:ind w:firstLine="480"/>
        <w:rPr>
          <w:rFonts w:ascii="仿宋_GB2312" w:eastAsia="仿宋_GB2312"/>
        </w:rPr>
      </w:pPr>
      <w:r>
        <w:rPr>
          <w:rFonts w:hint="eastAsia" w:ascii="仿宋_GB2312" w:eastAsia="仿宋_GB2312"/>
        </w:rPr>
        <w:t>◆也可点击菜单“产品参数</w:t>
      </w:r>
      <w:r>
        <w:rPr>
          <w:rFonts w:hint="eastAsia" w:ascii="仿宋_GB2312" w:eastAsia="仿宋_GB2312"/>
        </w:rPr>
        <w:sym w:font="Wingdings" w:char="F0E0"/>
      </w:r>
      <w:r>
        <w:rPr>
          <w:rFonts w:hint="eastAsia" w:ascii="仿宋_GB2312" w:eastAsia="仿宋_GB2312"/>
        </w:rPr>
        <w:t>读取参数”，弹出“打开”对话框，选取以前存储在计算机里的对应的参数文件。</w:t>
      </w:r>
    </w:p>
    <w:p>
      <w:pPr>
        <w:spacing w:line="360" w:lineRule="auto"/>
        <w:ind w:firstLine="480"/>
        <w:rPr>
          <w:rFonts w:ascii="仿宋_GB2312" w:eastAsia="仿宋_GB2312"/>
        </w:rPr>
      </w:pPr>
      <w:r>
        <w:rPr>
          <w:rFonts w:hint="eastAsia" w:ascii="仿宋_GB2312" w:eastAsia="仿宋_GB2312"/>
        </w:rPr>
        <w:t>◆如果需要将当前的参数文件存储，点击菜单“产品参数</w:t>
      </w:r>
      <w:r>
        <w:rPr>
          <w:rFonts w:hint="eastAsia" w:ascii="仿宋_GB2312" w:eastAsia="仿宋_GB2312"/>
        </w:rPr>
        <w:sym w:font="Wingdings" w:char="F0E0"/>
      </w:r>
      <w:r>
        <w:rPr>
          <w:rFonts w:hint="eastAsia" w:ascii="仿宋_GB2312" w:eastAsia="仿宋_GB2312"/>
        </w:rPr>
        <w:t>保存参数”，弹出“另存为”对话框，输入文件名后存储即可。</w:t>
      </w:r>
    </w:p>
    <w:p>
      <w:pPr>
        <w:pStyle w:val="3"/>
      </w:pPr>
      <w:bookmarkStart w:id="208" w:name="_Toc497307486"/>
      <w:bookmarkStart w:id="209" w:name="_Toc6876"/>
      <w:bookmarkStart w:id="210" w:name="_Toc24935"/>
      <w:bookmarkStart w:id="211" w:name="_Toc15538"/>
      <w:bookmarkStart w:id="212" w:name="_Toc4568"/>
      <w:bookmarkStart w:id="213" w:name="_Toc31728"/>
      <w:r>
        <w:rPr>
          <w:rFonts w:hint="eastAsia"/>
        </w:rPr>
        <w:t>5.4系统校零</w:t>
      </w:r>
      <w:bookmarkEnd w:id="208"/>
      <w:bookmarkEnd w:id="209"/>
      <w:bookmarkEnd w:id="210"/>
      <w:bookmarkEnd w:id="211"/>
      <w:bookmarkEnd w:id="212"/>
      <w:bookmarkEnd w:id="213"/>
    </w:p>
    <w:p>
      <w:pPr>
        <w:spacing w:line="360" w:lineRule="auto"/>
        <w:ind w:firstLine="480"/>
        <w:rPr>
          <w:rFonts w:ascii="仿宋_GB2312" w:eastAsia="仿宋_GB2312"/>
        </w:rPr>
      </w:pPr>
      <w:r>
        <w:rPr>
          <w:rFonts w:hint="eastAsia" w:ascii="仿宋_GB2312" w:eastAsia="仿宋_GB2312"/>
        </w:rPr>
        <w:t>◆将测量车移至下线检修位置。</w:t>
      </w:r>
    </w:p>
    <w:p>
      <w:pPr>
        <w:spacing w:line="360" w:lineRule="auto"/>
        <w:ind w:firstLine="480"/>
        <w:rPr>
          <w:rFonts w:ascii="仿宋_GB2312" w:eastAsia="仿宋_GB2312"/>
        </w:rPr>
      </w:pPr>
      <w:r>
        <w:rPr>
          <w:rFonts w:hint="eastAsia" w:ascii="仿宋_GB2312" w:eastAsia="仿宋_GB2312"/>
        </w:rPr>
        <w:t>◆选取不同规格的标准棒，并分别固定在校准支架上，从出钢方向放入测量区。</w:t>
      </w:r>
    </w:p>
    <w:p>
      <w:pPr>
        <w:spacing w:line="360" w:lineRule="auto"/>
        <w:ind w:firstLine="480"/>
        <w:rPr>
          <w:rFonts w:ascii="仿宋_GB2312" w:eastAsia="仿宋_GB2312"/>
        </w:rPr>
      </w:pPr>
      <w:r>
        <w:rPr>
          <w:rFonts w:hint="eastAsia" w:ascii="仿宋_GB2312" w:eastAsia="仿宋_GB2312"/>
        </w:rPr>
        <w:t>◆点击菜单“系统参数</w:t>
      </w:r>
      <w:r>
        <w:rPr>
          <w:rFonts w:hint="eastAsia" w:ascii="仿宋_GB2312" w:eastAsia="仿宋_GB2312"/>
        </w:rPr>
        <w:sym w:font="Wingdings" w:char="F0E0"/>
      </w:r>
      <w:r>
        <w:rPr>
          <w:rFonts w:hint="eastAsia" w:ascii="仿宋_GB2312" w:eastAsia="仿宋_GB2312"/>
        </w:rPr>
        <w:t>数据校零”或直接点击“校零”按钮，在弹出的对话框中将标准标准棒的直径值填入到“标称直径(mm)”中，点击“自动校零”，测量系统自动计算校零系数，校零完成后点击“确定”即可，把不同规格的标准棒的校零参数保存。</w:t>
      </w:r>
    </w:p>
    <w:p>
      <w:pPr>
        <w:pStyle w:val="3"/>
      </w:pPr>
      <w:bookmarkStart w:id="214" w:name="_Toc497307487"/>
      <w:bookmarkStart w:id="215" w:name="_Toc20162"/>
      <w:bookmarkStart w:id="216" w:name="_Toc23743"/>
      <w:bookmarkStart w:id="217" w:name="_Toc23046"/>
      <w:bookmarkStart w:id="218" w:name="_Toc30692"/>
      <w:bookmarkStart w:id="219" w:name="_Toc14748"/>
      <w:r>
        <w:rPr>
          <w:rFonts w:hint="eastAsia"/>
        </w:rPr>
        <w:t>5.5测径仪开始测量状态</w:t>
      </w:r>
      <w:bookmarkEnd w:id="214"/>
      <w:bookmarkEnd w:id="215"/>
      <w:bookmarkEnd w:id="216"/>
      <w:bookmarkEnd w:id="217"/>
      <w:bookmarkEnd w:id="218"/>
      <w:bookmarkEnd w:id="219"/>
    </w:p>
    <w:p>
      <w:pPr>
        <w:spacing w:line="360" w:lineRule="auto"/>
        <w:ind w:firstLine="480"/>
        <w:rPr>
          <w:rFonts w:ascii="仿宋_GB2312" w:eastAsia="仿宋_GB2312"/>
        </w:rPr>
      </w:pPr>
      <w:r>
        <w:rPr>
          <w:rFonts w:hint="eastAsia" w:ascii="仿宋_GB2312" w:eastAsia="仿宋_GB2312"/>
        </w:rPr>
        <w:t>确认测量车上线且高压鼓风机已开启，点击“开始测量”按钮测量系统进行测量。测量状态下可以切换显示画面（主界面、波动图或缺陷分析图）。</w:t>
      </w:r>
    </w:p>
    <w:p>
      <w:pPr>
        <w:pStyle w:val="3"/>
      </w:pPr>
      <w:bookmarkStart w:id="220" w:name="_Toc19780"/>
      <w:bookmarkStart w:id="221" w:name="_Toc1166"/>
      <w:bookmarkStart w:id="222" w:name="_Toc497307488"/>
      <w:bookmarkStart w:id="223" w:name="_Toc21920"/>
      <w:bookmarkStart w:id="224" w:name="_Toc13185"/>
      <w:bookmarkStart w:id="225" w:name="_Toc6466"/>
      <w:r>
        <w:rPr>
          <w:rFonts w:hint="eastAsia"/>
        </w:rPr>
        <w:t>5.6 冷热系数的设定</w:t>
      </w:r>
      <w:bookmarkEnd w:id="220"/>
      <w:bookmarkEnd w:id="221"/>
      <w:bookmarkEnd w:id="222"/>
      <w:bookmarkEnd w:id="223"/>
      <w:bookmarkEnd w:id="224"/>
      <w:bookmarkEnd w:id="225"/>
    </w:p>
    <w:p>
      <w:pPr>
        <w:spacing w:line="360" w:lineRule="auto"/>
        <w:ind w:firstLine="480"/>
        <w:rPr>
          <w:rFonts w:ascii="仿宋_GB2312" w:eastAsia="仿宋_GB2312"/>
        </w:rPr>
      </w:pPr>
      <w:r>
        <w:rPr>
          <w:rFonts w:hint="eastAsia" w:ascii="仿宋_GB2312" w:eastAsia="仿宋_GB2312"/>
        </w:rPr>
        <w:t>根据轧制温度和材质，设定本次测量的冷热系数。或根据轧材的材质填入轧材的热膨胀率。</w:t>
      </w:r>
    </w:p>
    <w:p>
      <w:pPr>
        <w:pStyle w:val="3"/>
      </w:pPr>
      <w:bookmarkStart w:id="226" w:name="_Toc29871"/>
      <w:bookmarkStart w:id="227" w:name="_Toc21173"/>
      <w:bookmarkStart w:id="228" w:name="_Toc12105"/>
      <w:bookmarkStart w:id="229" w:name="_Toc497307489"/>
      <w:bookmarkStart w:id="230" w:name="_Toc12632"/>
      <w:bookmarkStart w:id="231" w:name="_Toc32236"/>
      <w:r>
        <w:rPr>
          <w:rFonts w:hint="eastAsia"/>
        </w:rPr>
        <w:t>5.7测径仪停止测量状态</w:t>
      </w:r>
      <w:bookmarkEnd w:id="226"/>
      <w:bookmarkEnd w:id="227"/>
      <w:bookmarkEnd w:id="228"/>
      <w:bookmarkEnd w:id="229"/>
      <w:bookmarkEnd w:id="230"/>
      <w:bookmarkEnd w:id="231"/>
    </w:p>
    <w:p>
      <w:pPr>
        <w:spacing w:line="360" w:lineRule="auto"/>
        <w:ind w:firstLine="480"/>
        <w:rPr>
          <w:rFonts w:ascii="仿宋_GB2312" w:eastAsia="仿宋_GB2312"/>
        </w:rPr>
      </w:pPr>
      <w:r>
        <w:rPr>
          <w:rFonts w:hint="eastAsia" w:ascii="仿宋_GB2312" w:eastAsia="仿宋_GB2312"/>
        </w:rPr>
        <w:t>点击“停止测量”按钮测量系统停止测量。</w:t>
      </w:r>
    </w:p>
    <w:p>
      <w:pPr>
        <w:pStyle w:val="3"/>
      </w:pPr>
      <w:bookmarkStart w:id="232" w:name="_Toc23985"/>
      <w:bookmarkStart w:id="233" w:name="_Toc497307490"/>
      <w:bookmarkStart w:id="234" w:name="_Toc17784"/>
      <w:bookmarkStart w:id="235" w:name="_Toc14739"/>
      <w:bookmarkStart w:id="236" w:name="_Toc31979"/>
      <w:bookmarkStart w:id="237" w:name="_Toc248"/>
      <w:r>
        <w:rPr>
          <w:rFonts w:hint="eastAsia"/>
        </w:rPr>
        <w:t>5.8历史数据的查询</w:t>
      </w:r>
      <w:bookmarkEnd w:id="232"/>
      <w:bookmarkEnd w:id="233"/>
      <w:bookmarkEnd w:id="234"/>
      <w:bookmarkEnd w:id="235"/>
      <w:bookmarkEnd w:id="236"/>
      <w:bookmarkEnd w:id="237"/>
    </w:p>
    <w:p>
      <w:pPr>
        <w:spacing w:line="360" w:lineRule="auto"/>
        <w:ind w:firstLine="480"/>
        <w:rPr>
          <w:rFonts w:ascii="仿宋_GB2312" w:eastAsia="仿宋_GB2312"/>
        </w:rPr>
      </w:pPr>
      <w:r>
        <w:rPr>
          <w:rFonts w:hint="eastAsia" w:ascii="仿宋_GB2312" w:eastAsia="仿宋_GB2312"/>
        </w:rPr>
        <w:t>点击菜单“记录文件</w:t>
      </w:r>
      <w:r>
        <w:rPr>
          <w:rFonts w:hint="eastAsia" w:ascii="仿宋_GB2312" w:eastAsia="仿宋_GB2312"/>
        </w:rPr>
        <w:sym w:font="Wingdings" w:char="F0E0"/>
      </w:r>
      <w:r>
        <w:rPr>
          <w:rFonts w:hint="eastAsia" w:ascii="仿宋_GB2312" w:eastAsia="仿宋_GB2312"/>
        </w:rPr>
        <w:t>打开文件”，弹出“打开”对话框，选择想要查询的数据文件，点击“打开”即可进行查询。查询完毕后，点击菜单“记录文件</w:t>
      </w:r>
      <w:r>
        <w:rPr>
          <w:rFonts w:hint="eastAsia" w:ascii="仿宋_GB2312" w:eastAsia="仿宋_GB2312"/>
        </w:rPr>
        <w:sym w:font="Wingdings" w:char="F0E0"/>
      </w:r>
      <w:r>
        <w:rPr>
          <w:rFonts w:hint="eastAsia" w:ascii="仿宋_GB2312" w:eastAsia="仿宋_GB2312"/>
        </w:rPr>
        <w:t>关闭文件”后方可再次进行查询或测量。</w:t>
      </w:r>
    </w:p>
    <w:p>
      <w:pPr>
        <w:pStyle w:val="3"/>
      </w:pPr>
      <w:bookmarkStart w:id="238" w:name="_Toc10477"/>
      <w:bookmarkStart w:id="239" w:name="_Toc497307491"/>
      <w:bookmarkStart w:id="240" w:name="_Toc26743"/>
      <w:bookmarkStart w:id="241" w:name="_Toc4622"/>
      <w:bookmarkStart w:id="242" w:name="_Toc2901"/>
      <w:bookmarkStart w:id="243" w:name="_Toc24349"/>
      <w:r>
        <w:rPr>
          <w:rFonts w:hint="eastAsia"/>
        </w:rPr>
        <w:t>5.9关闭测量软件</w:t>
      </w:r>
      <w:bookmarkEnd w:id="238"/>
      <w:bookmarkEnd w:id="239"/>
      <w:bookmarkEnd w:id="240"/>
      <w:bookmarkEnd w:id="241"/>
      <w:bookmarkEnd w:id="242"/>
      <w:bookmarkEnd w:id="243"/>
    </w:p>
    <w:p>
      <w:pPr>
        <w:spacing w:line="360" w:lineRule="auto"/>
        <w:ind w:firstLine="480"/>
        <w:rPr>
          <w:rFonts w:ascii="仿宋_GB2312" w:eastAsia="仿宋_GB2312"/>
        </w:rPr>
      </w:pPr>
      <w:r>
        <w:rPr>
          <w:rFonts w:hint="eastAsia" w:ascii="仿宋_GB2312" w:eastAsia="仿宋_GB2312"/>
        </w:rPr>
        <w:t>单击 “退出”按钮或程序界面右上角的“×”按钮即可退出测控软件。</w:t>
      </w:r>
    </w:p>
    <w:p>
      <w:pPr>
        <w:pStyle w:val="3"/>
      </w:pPr>
      <w:bookmarkStart w:id="244" w:name="_Toc30492"/>
      <w:bookmarkStart w:id="245" w:name="_Toc27377"/>
      <w:bookmarkStart w:id="246" w:name="_Toc22203"/>
      <w:bookmarkStart w:id="247" w:name="_Toc27960"/>
      <w:bookmarkStart w:id="248" w:name="_Toc3403"/>
      <w:bookmarkStart w:id="249" w:name="_Toc497307492"/>
      <w:r>
        <w:rPr>
          <w:rFonts w:hint="eastAsia"/>
        </w:rPr>
        <w:t>5.10关机</w:t>
      </w:r>
      <w:bookmarkEnd w:id="244"/>
      <w:bookmarkEnd w:id="245"/>
      <w:bookmarkEnd w:id="246"/>
      <w:bookmarkEnd w:id="247"/>
      <w:bookmarkEnd w:id="248"/>
      <w:bookmarkEnd w:id="249"/>
    </w:p>
    <w:p>
      <w:pPr>
        <w:spacing w:line="360" w:lineRule="auto"/>
        <w:ind w:firstLine="480"/>
        <w:rPr>
          <w:rFonts w:ascii="仿宋_GB2312" w:eastAsia="仿宋_GB2312"/>
        </w:rPr>
      </w:pPr>
      <w:r>
        <w:rPr>
          <w:rFonts w:hint="eastAsia" w:ascii="仿宋_GB2312" w:eastAsia="仿宋_GB2312"/>
        </w:rPr>
        <w:t>◆安全关闭计算机</w:t>
      </w:r>
    </w:p>
    <w:p>
      <w:pPr>
        <w:spacing w:line="360" w:lineRule="auto"/>
        <w:ind w:firstLine="480"/>
        <w:rPr>
          <w:rFonts w:ascii="仿宋_GB2312" w:eastAsia="仿宋_GB2312"/>
        </w:rPr>
      </w:pPr>
      <w:r>
        <w:rPr>
          <w:rFonts w:hint="eastAsia" w:ascii="仿宋_GB2312" w:eastAsia="仿宋_GB2312"/>
        </w:rPr>
        <w:t>◆按下控制柜面板上“工作关”按钮，给测量车断电</w:t>
      </w:r>
    </w:p>
    <w:p>
      <w:pPr>
        <w:spacing w:line="360" w:lineRule="auto"/>
        <w:ind w:firstLine="480"/>
        <w:rPr>
          <w:rFonts w:ascii="仿宋_GB2312" w:eastAsia="仿宋_GB2312"/>
        </w:rPr>
      </w:pPr>
      <w:r>
        <w:rPr>
          <w:rFonts w:hint="eastAsia" w:ascii="仿宋_GB2312" w:eastAsia="仿宋_GB2312"/>
        </w:rPr>
        <w:t>◆关闭交流稳压源</w:t>
      </w:r>
    </w:p>
    <w:p>
      <w:pPr>
        <w:pStyle w:val="2"/>
      </w:pPr>
      <w:bookmarkStart w:id="250" w:name="_Toc1544"/>
      <w:bookmarkStart w:id="251" w:name="_Toc23170"/>
      <w:bookmarkStart w:id="252" w:name="_Toc497307493"/>
      <w:r>
        <w:rPr>
          <w:rFonts w:hint="eastAsia"/>
        </w:rPr>
        <w:t>6.安全操作及日常维护</w:t>
      </w:r>
      <w:bookmarkEnd w:id="250"/>
      <w:bookmarkEnd w:id="251"/>
      <w:bookmarkEnd w:id="252"/>
    </w:p>
    <w:p>
      <w:pPr>
        <w:spacing w:line="360" w:lineRule="auto"/>
        <w:ind w:firstLine="480"/>
        <w:rPr>
          <w:rFonts w:ascii="仿宋_GB2312" w:eastAsia="仿宋_GB2312"/>
        </w:rPr>
      </w:pPr>
      <w:r>
        <w:rPr>
          <w:rFonts w:hint="eastAsia" w:ascii="仿宋_GB2312" w:eastAsia="仿宋_GB2312"/>
        </w:rPr>
        <w:t>测径仪是精密的光学测量设备，使用前请详细阅读《使用说明书》，并按正确的方法操作和维护。</w:t>
      </w:r>
    </w:p>
    <w:p>
      <w:pPr>
        <w:pStyle w:val="3"/>
      </w:pPr>
      <w:bookmarkStart w:id="253" w:name="_Toc27330"/>
      <w:bookmarkStart w:id="254" w:name="_Toc497307494"/>
      <w:bookmarkStart w:id="255" w:name="_Toc22617"/>
      <w:r>
        <w:rPr>
          <w:rFonts w:hint="eastAsia"/>
        </w:rPr>
        <w:t>6.1总则</w:t>
      </w:r>
      <w:bookmarkEnd w:id="253"/>
      <w:bookmarkEnd w:id="254"/>
      <w:bookmarkEnd w:id="255"/>
    </w:p>
    <w:p>
      <w:pPr>
        <w:spacing w:line="360" w:lineRule="auto"/>
        <w:ind w:firstLine="480"/>
        <w:rPr>
          <w:rFonts w:ascii="仿宋_GB2312" w:eastAsia="仿宋_GB2312"/>
        </w:rPr>
      </w:pPr>
      <w:r>
        <w:rPr>
          <w:rFonts w:hint="eastAsia" w:ascii="仿宋_GB2312" w:eastAsia="仿宋_GB2312"/>
        </w:rPr>
        <w:t>★测量车应远离水、雾、火及有毒气体，否则将不能正常工作。</w:t>
      </w:r>
    </w:p>
    <w:p>
      <w:pPr>
        <w:spacing w:line="360" w:lineRule="auto"/>
        <w:ind w:firstLine="480"/>
        <w:rPr>
          <w:rFonts w:ascii="仿宋_GB2312" w:eastAsia="仿宋_GB2312"/>
        </w:rPr>
      </w:pPr>
      <w:r>
        <w:rPr>
          <w:rFonts w:hint="eastAsia" w:ascii="仿宋_GB2312" w:eastAsia="仿宋_GB2312"/>
        </w:rPr>
        <w:t>★测量车内光学测头是经过特殊工艺调试的，非我公司维修人员不得擅动，以免对测量的准确性产生永久性损害。</w:t>
      </w:r>
    </w:p>
    <w:p>
      <w:pPr>
        <w:spacing w:line="360" w:lineRule="auto"/>
        <w:ind w:firstLine="480"/>
        <w:rPr>
          <w:rFonts w:ascii="仿宋_GB2312" w:eastAsia="仿宋_GB2312"/>
        </w:rPr>
      </w:pPr>
      <w:r>
        <w:rPr>
          <w:rFonts w:hint="eastAsia" w:ascii="仿宋_GB2312" w:eastAsia="仿宋_GB2312"/>
        </w:rPr>
        <w:t>★测量车内有高压电，除专业人员外不得随意打开，以免发生意外损害。</w:t>
      </w:r>
    </w:p>
    <w:p>
      <w:pPr>
        <w:spacing w:line="360" w:lineRule="auto"/>
        <w:ind w:firstLine="480"/>
        <w:rPr>
          <w:rFonts w:ascii="仿宋_GB2312" w:eastAsia="仿宋_GB2312"/>
        </w:rPr>
      </w:pPr>
      <w:r>
        <w:rPr>
          <w:rFonts w:hint="eastAsia" w:ascii="仿宋_GB2312" w:eastAsia="仿宋_GB2312"/>
        </w:rPr>
        <w:t>★工业控制计算机系统的应用软件，任何人不得随意改动、删除，否则会破坏系统的正常运行。</w:t>
      </w:r>
    </w:p>
    <w:p>
      <w:pPr>
        <w:spacing w:line="360" w:lineRule="auto"/>
        <w:ind w:firstLine="480"/>
        <w:rPr>
          <w:rFonts w:ascii="仿宋_GB2312" w:eastAsia="仿宋_GB2312"/>
        </w:rPr>
      </w:pPr>
      <w:r>
        <w:rPr>
          <w:rFonts w:hint="eastAsia" w:ascii="仿宋_GB2312" w:eastAsia="仿宋_GB2312"/>
        </w:rPr>
        <w:t>★因测量系统采用精密光学仪器，不得对测量车敲击，不得任意拆卸，不得将任何杂物放在测量车或主控机柜上。</w:t>
      </w:r>
    </w:p>
    <w:p>
      <w:pPr>
        <w:spacing w:line="360" w:lineRule="auto"/>
        <w:ind w:firstLine="480"/>
        <w:rPr>
          <w:rFonts w:ascii="仿宋_GB2312" w:eastAsia="仿宋_GB2312"/>
        </w:rPr>
      </w:pPr>
      <w:r>
        <w:rPr>
          <w:rFonts w:hint="eastAsia" w:ascii="仿宋_GB2312" w:eastAsia="仿宋_GB2312"/>
        </w:rPr>
        <w:t>★主控机柜电器箱内接有高压交流电源，不得随意打开，以免发生意外损害。</w:t>
      </w:r>
    </w:p>
    <w:p>
      <w:pPr>
        <w:spacing w:line="360" w:lineRule="auto"/>
        <w:ind w:firstLine="480"/>
        <w:rPr>
          <w:rFonts w:ascii="仿宋_GB2312" w:eastAsia="仿宋_GB2312"/>
        </w:rPr>
      </w:pPr>
      <w:r>
        <w:rPr>
          <w:rFonts w:hint="eastAsia" w:ascii="仿宋_GB2312" w:eastAsia="仿宋_GB2312"/>
        </w:rPr>
        <w:t>★工控机属专用终端，不得挪作它用。工控机要定期除尘，数据资料要定期备份，过期的数据文件要定期删除，严禁非工作软件拷入，以防病毒攻击。</w:t>
      </w:r>
    </w:p>
    <w:p>
      <w:pPr>
        <w:pStyle w:val="3"/>
      </w:pPr>
      <w:bookmarkStart w:id="256" w:name="_Toc5334"/>
      <w:bookmarkStart w:id="257" w:name="_Toc17070"/>
      <w:bookmarkStart w:id="258" w:name="_Toc497307495"/>
      <w:r>
        <w:rPr>
          <w:rFonts w:hint="eastAsia"/>
        </w:rPr>
        <w:t>6.2供风设备的操作和维护</w:t>
      </w:r>
      <w:bookmarkEnd w:id="256"/>
      <w:bookmarkEnd w:id="257"/>
      <w:bookmarkEnd w:id="258"/>
    </w:p>
    <w:p>
      <w:pPr>
        <w:spacing w:line="360" w:lineRule="auto"/>
        <w:ind w:firstLine="480"/>
        <w:rPr>
          <w:rFonts w:eastAsia="仿宋_GB2312"/>
        </w:rPr>
      </w:pPr>
      <w:r>
        <w:rPr>
          <w:rFonts w:hint="eastAsia" w:eastAsia="仿宋_GB2312"/>
        </w:rPr>
        <w:t>蓝鹏测径仪的供风设备包括高压鼓风机和空气过滤装置两部分。</w:t>
      </w:r>
    </w:p>
    <w:p>
      <w:pPr>
        <w:spacing w:line="360" w:lineRule="auto"/>
        <w:ind w:firstLine="480"/>
        <w:rPr>
          <w:rFonts w:eastAsia="仿宋_GB2312"/>
        </w:rPr>
      </w:pPr>
      <w:r>
        <w:rPr>
          <w:rFonts w:hint="eastAsia" w:eastAsia="仿宋_GB2312"/>
        </w:rPr>
        <w:t>鼓风机要求有独立的供电系统和电源开关，安装时应调整好风机叶轮的旋向，保证接通电源后鼓风机正常工作。</w:t>
      </w:r>
      <w:r>
        <w:rPr>
          <w:rFonts w:hint="eastAsia" w:eastAsia="仿宋_GB2312"/>
          <w:b/>
        </w:rPr>
        <w:t>另外，只要测量车在线且轧线正在过钢，无论测量车是否在进行测量，鼓风机都不得停机。</w:t>
      </w:r>
    </w:p>
    <w:p>
      <w:pPr>
        <w:spacing w:line="360" w:lineRule="auto"/>
        <w:ind w:firstLine="480"/>
        <w:rPr>
          <w:rFonts w:ascii="仿宋_GB2312" w:eastAsia="仿宋_GB2312"/>
        </w:rPr>
      </w:pPr>
      <w:r>
        <w:rPr>
          <w:rFonts w:hint="eastAsia" w:ascii="仿宋_GB2312" w:eastAsia="仿宋_GB2312"/>
        </w:rPr>
        <w:t>空气过滤装置安装在鼓风机的进风口，阻止灰尘进入鼓风机和测量车内。空气过滤装置内置</w:t>
      </w:r>
      <w:r>
        <w:rPr>
          <w:rFonts w:eastAsia="仿宋_GB2312"/>
        </w:rPr>
        <w:t>3</w:t>
      </w:r>
      <w:r>
        <w:rPr>
          <w:rFonts w:hint="eastAsia" w:eastAsia="仿宋_GB2312"/>
        </w:rPr>
        <w:t>2</w:t>
      </w:r>
      <w:r>
        <w:rPr>
          <w:rFonts w:eastAsia="仿宋_GB2312"/>
        </w:rPr>
        <w:t>0×</w:t>
      </w:r>
      <w:r>
        <w:rPr>
          <w:rFonts w:hint="eastAsia" w:eastAsia="仿宋_GB2312"/>
        </w:rPr>
        <w:t>50</w:t>
      </w:r>
      <w:r>
        <w:rPr>
          <w:rFonts w:eastAsia="仿宋_GB2312"/>
        </w:rPr>
        <w:t>0</w:t>
      </w:r>
      <w:r>
        <w:rPr>
          <w:rFonts w:hint="eastAsia" w:eastAsia="仿宋_GB2312"/>
        </w:rPr>
        <w:t>空气滤芯</w:t>
      </w:r>
      <w:r>
        <w:rPr>
          <w:rFonts w:hint="eastAsia" w:ascii="仿宋_GB2312" w:eastAsia="仿宋_GB2312"/>
        </w:rPr>
        <w:t>一套，滤芯需要时常清理和及时更换。清理滤芯的步骤如下：1.先将鼓风机停机，打开滤芯的锁扣取出滤芯；2.手持滤芯的两端，一边使滤芯旋转一边将滤芯在地上轻轻地磕摔，把滤芯上的浮尘磕落到地上；3.用压缩空气喷嘴顺着滤芯沟槽的方向吹2至3遍，把未磕落的灰尘吹净；4.将滤芯装入空气过滤装置，压上锁扣。空气滤芯一般两周清理一次。</w:t>
      </w:r>
    </w:p>
    <w:p>
      <w:pPr>
        <w:spacing w:line="360" w:lineRule="auto"/>
        <w:ind w:firstLine="480"/>
        <w:rPr>
          <w:rFonts w:ascii="仿宋_GB2312" w:eastAsia="仿宋_GB2312"/>
        </w:rPr>
      </w:pPr>
      <w:r>
        <w:rPr>
          <w:rFonts w:hint="eastAsia" w:ascii="仿宋_GB2312" w:eastAsia="仿宋_GB2312"/>
        </w:rPr>
        <w:t>为保证鼓风机的供风量，当空气滤芯无法清理干净时应及时更换，一般半年更换一次。空气滤芯的清理和更换周期与现场环境有关，用户可根据车间环境自行调整。</w:t>
      </w:r>
    </w:p>
    <w:p>
      <w:pPr>
        <w:pStyle w:val="3"/>
      </w:pPr>
      <w:bookmarkStart w:id="259" w:name="_Toc497307497"/>
      <w:bookmarkStart w:id="260" w:name="_Toc7313"/>
      <w:bookmarkStart w:id="261" w:name="_Toc6660"/>
      <w:r>
        <w:rPr>
          <w:rFonts w:hint="eastAsia"/>
        </w:rPr>
        <w:t>6.3视窗镜片的维护</w:t>
      </w:r>
      <w:bookmarkEnd w:id="259"/>
      <w:bookmarkEnd w:id="260"/>
      <w:bookmarkEnd w:id="261"/>
    </w:p>
    <w:p>
      <w:pPr>
        <w:spacing w:line="360" w:lineRule="auto"/>
        <w:ind w:firstLine="480"/>
        <w:rPr>
          <w:rFonts w:ascii="仿宋_GB2312" w:eastAsia="仿宋_GB2312"/>
        </w:rPr>
      </w:pPr>
      <w:r>
        <w:rPr>
          <w:rFonts w:hint="eastAsia" w:ascii="仿宋_GB2312" w:eastAsia="仿宋_GB2312"/>
        </w:rPr>
        <w:t>视窗镜片是保护光学镜头免受污染和损伤的光学平镜片，它的污染和破损会直接影响光学系统的测量结果。视窗镜片一般在受到轻微污染（指镜片上有少量均匀的灰尘）的情况下，并不影响测径仪显示正常数据。所以，在测径仪正常工作期间要定期对镜片进行检查和擦拭，不要等到测径仪测量数据不准确时再对镜片进行维护。</w:t>
      </w:r>
    </w:p>
    <w:p>
      <w:pPr>
        <w:spacing w:line="360" w:lineRule="auto"/>
        <w:ind w:firstLine="480"/>
        <w:rPr>
          <w:rFonts w:ascii="仿宋_GB2312" w:eastAsia="仿宋_GB2312"/>
        </w:rPr>
      </w:pPr>
      <w:r>
        <w:rPr>
          <w:rFonts w:hint="eastAsia" w:ascii="仿宋_GB2312" w:eastAsia="仿宋_GB2312"/>
        </w:rPr>
        <w:t>根据现场环境的清洁程度，在测径仪运行正常情况下应该每</w:t>
      </w:r>
      <w:r>
        <w:rPr>
          <w:rFonts w:eastAsia="仿宋_GB2312"/>
        </w:rPr>
        <w:t>2～3</w:t>
      </w:r>
      <w:r>
        <w:rPr>
          <w:rFonts w:hint="eastAsia" w:ascii="仿宋_GB2312" w:eastAsia="仿宋_GB2312"/>
        </w:rPr>
        <w:t>周对视窗镜片进行一次检查和维护。检查和维护应在测量车的检修位置进行，具体操作如下：</w:t>
      </w:r>
      <w:r>
        <w:rPr>
          <w:rFonts w:eastAsia="仿宋_GB2312"/>
        </w:rPr>
        <w:t>1</w:t>
      </w:r>
      <w:r>
        <w:rPr>
          <w:rFonts w:hint="eastAsia" w:ascii="仿宋_GB2312" w:eastAsia="仿宋_GB2312"/>
        </w:rPr>
        <w:t>.拆下密封环上的蝶形螺母，拿掉密封环；</w:t>
      </w:r>
      <w:r>
        <w:rPr>
          <w:rFonts w:eastAsia="仿宋_GB2312"/>
        </w:rPr>
        <w:t>2</w:t>
      </w:r>
      <w:r>
        <w:rPr>
          <w:rFonts w:hint="eastAsia" w:ascii="仿宋_GB2312" w:eastAsia="仿宋_GB2312"/>
        </w:rPr>
        <w:t>.观察视窗镜片的污损情况，如果所有镜片都无污损，可直接装上密封环继续测量；</w:t>
      </w:r>
      <w:r>
        <w:rPr>
          <w:rFonts w:eastAsia="仿宋_GB2312"/>
        </w:rPr>
        <w:t>3</w:t>
      </w:r>
      <w:r>
        <w:rPr>
          <w:rFonts w:hint="eastAsia" w:ascii="仿宋_GB2312" w:eastAsia="仿宋_GB2312"/>
        </w:rPr>
        <w:t>.如果镜片上有灰尘等污物，则用镜片擦拭专用的软布或软纸将镜片擦拭干净；</w:t>
      </w:r>
      <w:r>
        <w:rPr>
          <w:rFonts w:eastAsia="仿宋_GB2312"/>
        </w:rPr>
        <w:t>4</w:t>
      </w:r>
      <w:r>
        <w:rPr>
          <w:rFonts w:hint="eastAsia" w:ascii="仿宋_GB2312" w:eastAsia="仿宋_GB2312"/>
        </w:rPr>
        <w:t>. 如果发现视窗镜片有严重灼伤或划伤可能影响正常测量，应立即更换新镜片。</w:t>
      </w:r>
      <w:r>
        <w:rPr>
          <w:rFonts w:eastAsia="仿宋_GB2312"/>
        </w:rPr>
        <w:t>5</w:t>
      </w:r>
      <w:r>
        <w:rPr>
          <w:rFonts w:hint="eastAsia" w:ascii="仿宋_GB2312" w:eastAsia="仿宋_GB2312"/>
        </w:rPr>
        <w:t>.镜片维护完成后，装上密封环，测量车可上线进行测量。</w:t>
      </w:r>
    </w:p>
    <w:p>
      <w:pPr>
        <w:spacing w:line="360" w:lineRule="auto"/>
        <w:ind w:firstLine="480"/>
        <w:rPr>
          <w:rFonts w:ascii="仿宋_GB2312" w:eastAsia="仿宋_GB2312"/>
        </w:rPr>
      </w:pPr>
      <w:r>
        <w:rPr>
          <w:rFonts w:hint="eastAsia" w:ascii="仿宋_GB2312" w:eastAsia="仿宋_GB2312"/>
        </w:rPr>
        <w:t>注：视窗镜片是经过特殊高温处理和光学加工的光学镜片，不得随意用其它玻璃替换，以免影响正常测量。</w:t>
      </w:r>
    </w:p>
    <w:p>
      <w:pPr>
        <w:pStyle w:val="3"/>
      </w:pPr>
      <w:bookmarkStart w:id="262" w:name="_Toc497307498"/>
      <w:bookmarkStart w:id="263" w:name="_Toc28715"/>
      <w:bookmarkStart w:id="264" w:name="_Toc25200"/>
      <w:r>
        <w:rPr>
          <w:rFonts w:hint="eastAsia"/>
        </w:rPr>
        <w:t>6.4测量偏差校验</w:t>
      </w:r>
      <w:bookmarkEnd w:id="262"/>
      <w:bookmarkEnd w:id="263"/>
      <w:bookmarkEnd w:id="264"/>
    </w:p>
    <w:p>
      <w:pPr>
        <w:spacing w:line="360" w:lineRule="auto"/>
        <w:ind w:firstLine="480"/>
        <w:rPr>
          <w:rFonts w:ascii="仿宋_GB2312" w:eastAsia="仿宋_GB2312"/>
        </w:rPr>
      </w:pPr>
      <w:r>
        <w:rPr>
          <w:rFonts w:hint="eastAsia" w:ascii="仿宋_GB2312" w:eastAsia="仿宋_GB2312"/>
        </w:rPr>
        <w:t>测量偏差校验是需经常进行的一项工作。尤其是在更换不同直径的轧材或设备检修之后，定期或不定期进行。生产过程中，轧制不同规格的棒材建议用相应规格范围的标准棒进行校验。</w:t>
      </w:r>
    </w:p>
    <w:p>
      <w:pPr>
        <w:spacing w:line="360" w:lineRule="auto"/>
        <w:ind w:firstLine="480"/>
        <w:rPr>
          <w:rFonts w:ascii="仿宋_GB2312" w:eastAsia="仿宋_GB2312"/>
        </w:rPr>
      </w:pPr>
      <w:r>
        <w:rPr>
          <w:rFonts w:hint="eastAsia" w:ascii="仿宋_GB2312" w:eastAsia="仿宋_GB2312"/>
        </w:rPr>
        <w:t>将装有标准棒的校准支架从出钢方向插入测径仪的测量区，注意校准支架的端面与测径仪贴紧以保证标准棒不倾斜。在测量软件中点击“系统参数—＞数据校零”或“校零”按钮；在弹出的对话框中将标准棒的直径填入到“标称直径（mm）”中，点击“自动校零”，测量系统自动计算校零系数，校零后点击“确定”即可。在生产过程中，每换一个型号需用相应标准棒进行校正。</w:t>
      </w:r>
    </w:p>
    <w:p>
      <w:pPr>
        <w:pStyle w:val="2"/>
      </w:pPr>
      <w:bookmarkStart w:id="265" w:name="_Toc10640"/>
      <w:bookmarkStart w:id="266" w:name="_Toc32494"/>
      <w:bookmarkStart w:id="267" w:name="_Toc497307499"/>
      <w:r>
        <w:rPr>
          <w:rFonts w:hint="eastAsia"/>
        </w:rPr>
        <w:t>7.设备常见故障及排除方法</w:t>
      </w:r>
      <w:bookmarkEnd w:id="265"/>
      <w:bookmarkEnd w:id="266"/>
      <w:bookmarkEnd w:id="267"/>
    </w:p>
    <w:p>
      <w:pPr>
        <w:spacing w:line="360" w:lineRule="auto"/>
        <w:ind w:firstLine="480"/>
        <w:rPr>
          <w:rFonts w:ascii="仿宋_GB2312" w:eastAsia="仿宋_GB2312"/>
        </w:rPr>
      </w:pPr>
      <w:r>
        <w:rPr>
          <w:rFonts w:hint="eastAsia" w:ascii="仿宋_GB2312" w:eastAsia="仿宋_GB2312"/>
        </w:rPr>
        <w:t>★ 点击 “开始测量”按钮时提示“初始化失败！”无法进行测量。</w:t>
      </w:r>
    </w:p>
    <w:p>
      <w:pPr>
        <w:spacing w:line="360" w:lineRule="auto"/>
        <w:ind w:firstLine="480"/>
        <w:rPr>
          <w:rFonts w:ascii="仿宋_GB2312" w:eastAsia="仿宋_GB2312"/>
        </w:rPr>
      </w:pPr>
      <w:r>
        <w:rPr>
          <w:rFonts w:hint="eastAsia" w:ascii="仿宋_GB2312" w:eastAsia="仿宋_GB2312"/>
        </w:rPr>
        <w:t>◆ 检查控制柜面板“工作”指示灯（绿）是否点亮；</w:t>
      </w:r>
    </w:p>
    <w:p>
      <w:pPr>
        <w:spacing w:line="360" w:lineRule="auto"/>
        <w:ind w:firstLine="480"/>
        <w:rPr>
          <w:rFonts w:ascii="仿宋_GB2312" w:eastAsia="仿宋_GB2312"/>
        </w:rPr>
      </w:pPr>
      <w:r>
        <w:rPr>
          <w:rFonts w:hint="eastAsia" w:ascii="仿宋_GB2312" w:eastAsia="仿宋_GB2312"/>
        </w:rPr>
        <w:t>◆ 最小化软件窗口，查看任务栏中是否有两个或两个以上测量软件正运行。如果有，关闭其它测量软件。</w:t>
      </w:r>
    </w:p>
    <w:p>
      <w:pPr>
        <w:spacing w:line="360" w:lineRule="auto"/>
        <w:ind w:firstLine="480"/>
        <w:rPr>
          <w:rFonts w:ascii="仿宋_GB2312" w:eastAsia="仿宋_GB2312"/>
        </w:rPr>
      </w:pPr>
      <w:r>
        <w:rPr>
          <w:rFonts w:hint="eastAsia" w:ascii="仿宋_GB2312" w:eastAsia="仿宋_GB2312"/>
        </w:rPr>
        <w:t>★ 被测物通过测量区时，测量软件界面上无数据显示。</w:t>
      </w:r>
    </w:p>
    <w:p>
      <w:pPr>
        <w:spacing w:line="360" w:lineRule="auto"/>
        <w:ind w:firstLine="480"/>
        <w:rPr>
          <w:rFonts w:ascii="仿宋_GB2312" w:eastAsia="仿宋_GB2312"/>
        </w:rPr>
      </w:pPr>
      <w:r>
        <w:rPr>
          <w:rFonts w:hint="eastAsia" w:ascii="仿宋_GB2312" w:eastAsia="仿宋_GB2312"/>
        </w:rPr>
        <w:t>◆ 点击“开始测量”按钮，开启测径仪为测量状态；</w:t>
      </w:r>
    </w:p>
    <w:p>
      <w:pPr>
        <w:spacing w:line="360" w:lineRule="auto"/>
        <w:ind w:firstLine="480"/>
        <w:rPr>
          <w:rFonts w:ascii="仿宋_GB2312" w:eastAsia="仿宋_GB2312"/>
        </w:rPr>
      </w:pPr>
      <w:r>
        <w:rPr>
          <w:rFonts w:hint="eastAsia" w:ascii="仿宋_GB2312" w:eastAsia="仿宋_GB2312"/>
        </w:rPr>
        <w:t>◆ 检查控制柜面板“工作”指示灯（绿）是否点亮；</w:t>
      </w:r>
    </w:p>
    <w:p>
      <w:pPr>
        <w:spacing w:line="360" w:lineRule="auto"/>
        <w:ind w:firstLine="480"/>
        <w:rPr>
          <w:rFonts w:ascii="仿宋_GB2312" w:eastAsia="仿宋_GB2312"/>
        </w:rPr>
      </w:pPr>
      <w:r>
        <w:rPr>
          <w:rFonts w:hint="eastAsia" w:ascii="仿宋_GB2312" w:eastAsia="仿宋_GB2312"/>
        </w:rPr>
        <w:t>如果未点亮，按下控制柜面板“工作开”按钮，退出软件，重新进入；</w:t>
      </w:r>
    </w:p>
    <w:p>
      <w:pPr>
        <w:spacing w:line="360" w:lineRule="auto"/>
        <w:ind w:firstLine="480"/>
        <w:rPr>
          <w:rFonts w:ascii="仿宋_GB2312" w:eastAsia="仿宋_GB2312"/>
        </w:rPr>
      </w:pPr>
      <w:r>
        <w:rPr>
          <w:rFonts w:hint="eastAsia" w:ascii="仿宋_GB2312" w:eastAsia="仿宋_GB2312"/>
        </w:rPr>
        <w:t>◆ 查看测量车内测头发射单元是否有绿光射出。如果没有，说明末对测量车供电，检查线路恢复对测量车的正常供电。</w:t>
      </w:r>
    </w:p>
    <w:p>
      <w:pPr>
        <w:spacing w:line="360" w:lineRule="auto"/>
        <w:ind w:firstLine="480"/>
        <w:rPr>
          <w:rFonts w:ascii="仿宋_GB2312" w:eastAsia="仿宋_GB2312"/>
        </w:rPr>
      </w:pPr>
      <w:r>
        <w:rPr>
          <w:rFonts w:hint="eastAsia" w:ascii="仿宋_GB2312" w:eastAsia="仿宋_GB2312"/>
        </w:rPr>
        <w:t>◆如果以上检查未发现问题查看通讯系统是否正常，“信号”光纤插头、网线插头是否接触良好。（光纤收发器正常工作时是</w:t>
      </w:r>
      <w:r>
        <w:rPr>
          <w:rFonts w:eastAsia="仿宋_GB2312"/>
        </w:rPr>
        <w:t>6</w:t>
      </w:r>
      <w:r>
        <w:rPr>
          <w:rFonts w:hint="eastAsia" w:ascii="仿宋_GB2312" w:eastAsia="仿宋_GB2312"/>
        </w:rPr>
        <w:t>个指示灯同时亮，中间两个闪烁）如果只有</w:t>
      </w:r>
      <w:r>
        <w:rPr>
          <w:rFonts w:eastAsia="仿宋_GB2312"/>
        </w:rPr>
        <w:t>4</w:t>
      </w:r>
      <w:r>
        <w:rPr>
          <w:rFonts w:hint="eastAsia" w:ascii="仿宋_GB2312" w:eastAsia="仿宋_GB2312"/>
        </w:rPr>
        <w:t>个或</w:t>
      </w:r>
      <w:r>
        <w:rPr>
          <w:rFonts w:eastAsia="仿宋_GB2312"/>
        </w:rPr>
        <w:t>5</w:t>
      </w:r>
      <w:r>
        <w:rPr>
          <w:rFonts w:hint="eastAsia" w:ascii="仿宋_GB2312" w:eastAsia="仿宋_GB2312"/>
        </w:rPr>
        <w:t>个灯亮则说明光纤或网线有断路。当通讯还未连接上时可以通过“开始</w:t>
      </w:r>
      <w:r>
        <w:rPr>
          <w:rFonts w:hint="eastAsia" w:ascii="仿宋_GB2312" w:eastAsia="仿宋_GB2312"/>
        </w:rPr>
        <w:sym w:font="Wingdings" w:char="F0E0"/>
      </w:r>
      <w:r>
        <w:rPr>
          <w:rFonts w:hint="eastAsia" w:ascii="仿宋_GB2312" w:eastAsia="仿宋_GB2312"/>
        </w:rPr>
        <w:t>运行”检测，在运行框中输入</w:t>
      </w:r>
      <w:r>
        <w:rPr>
          <w:rFonts w:eastAsia="仿宋_GB2312"/>
        </w:rPr>
        <w:t>ping 192.168.0.233 –t</w:t>
      </w:r>
      <w:r>
        <w:rPr>
          <w:rFonts w:hint="eastAsia" w:ascii="仿宋_GB2312" w:eastAsia="仿宋_GB2312"/>
        </w:rPr>
        <w:t>来检测通讯是否正常。</w:t>
      </w:r>
    </w:p>
    <w:p>
      <w:pPr>
        <w:spacing w:line="360" w:lineRule="auto"/>
        <w:ind w:firstLine="480"/>
        <w:rPr>
          <w:rFonts w:ascii="仿宋_GB2312" w:eastAsia="仿宋_GB2312"/>
        </w:rPr>
      </w:pPr>
      <w:r>
        <w:rPr>
          <w:rFonts w:hint="eastAsia" w:ascii="仿宋_GB2312" w:eastAsia="仿宋_GB2312"/>
        </w:rPr>
        <w:t>★ 测量数据不准确</w:t>
      </w:r>
    </w:p>
    <w:p>
      <w:pPr>
        <w:spacing w:line="360" w:lineRule="auto"/>
        <w:ind w:firstLine="480"/>
        <w:rPr>
          <w:rFonts w:ascii="仿宋_GB2312" w:eastAsia="仿宋_GB2312"/>
        </w:rPr>
      </w:pPr>
      <w:r>
        <w:rPr>
          <w:rFonts w:hint="eastAsia" w:ascii="仿宋_GB2312" w:eastAsia="仿宋_GB2312"/>
        </w:rPr>
        <w:t>◆ 产品参数设定是否正确？</w:t>
      </w:r>
    </w:p>
    <w:p>
      <w:pPr>
        <w:spacing w:line="360" w:lineRule="auto"/>
        <w:ind w:firstLine="480"/>
        <w:rPr>
          <w:rFonts w:ascii="仿宋_GB2312" w:eastAsia="仿宋_GB2312"/>
        </w:rPr>
      </w:pPr>
      <w:r>
        <w:rPr>
          <w:rFonts w:hint="eastAsia" w:ascii="仿宋_GB2312" w:eastAsia="仿宋_GB2312"/>
        </w:rPr>
        <w:t>◆ 系统校零是否正确？</w:t>
      </w:r>
    </w:p>
    <w:p>
      <w:pPr>
        <w:spacing w:line="360" w:lineRule="auto"/>
        <w:ind w:firstLine="480"/>
        <w:rPr>
          <w:rFonts w:ascii="仿宋_GB2312" w:eastAsia="仿宋_GB2312"/>
        </w:rPr>
      </w:pPr>
      <w:r>
        <w:rPr>
          <w:rFonts w:hint="eastAsia" w:ascii="仿宋_GB2312" w:eastAsia="仿宋_GB2312"/>
        </w:rPr>
        <w:t>正常的系统校零值＜</w:t>
      </w:r>
      <w:r>
        <w:rPr>
          <w:rFonts w:eastAsia="仿宋_GB2312"/>
        </w:rPr>
        <w:t>0.1</w:t>
      </w:r>
      <w:r>
        <w:rPr>
          <w:rFonts w:hint="eastAsia" w:ascii="仿宋_GB2312" w:eastAsia="仿宋_GB2312"/>
        </w:rPr>
        <w:t>，所以当校零值偏大或偏小很多时，测量车需要重新校零。</w:t>
      </w:r>
    </w:p>
    <w:p>
      <w:pPr>
        <w:spacing w:line="360" w:lineRule="auto"/>
        <w:ind w:firstLine="480"/>
        <w:rPr>
          <w:rFonts w:ascii="仿宋_GB2312" w:eastAsia="仿宋_GB2312"/>
        </w:rPr>
      </w:pPr>
      <w:r>
        <w:rPr>
          <w:rFonts w:hint="eastAsia" w:ascii="仿宋_GB2312" w:eastAsia="仿宋_GB2312"/>
        </w:rPr>
        <w:t>◆ 视窗镜片是否洁净？</w:t>
      </w:r>
    </w:p>
    <w:p>
      <w:pPr>
        <w:spacing w:line="360" w:lineRule="auto"/>
        <w:ind w:firstLine="480"/>
        <w:rPr>
          <w:rFonts w:ascii="仿宋_GB2312" w:eastAsia="仿宋_GB2312"/>
        </w:rPr>
      </w:pPr>
      <w:r>
        <w:rPr>
          <w:rFonts w:hint="eastAsia" w:ascii="仿宋_GB2312" w:eastAsia="仿宋_GB2312"/>
        </w:rPr>
        <w:t>◆ 测量区是否有异物？</w:t>
      </w:r>
    </w:p>
    <w:p>
      <w:pPr>
        <w:pStyle w:val="2"/>
      </w:pPr>
      <w:bookmarkStart w:id="268" w:name="_Toc6174"/>
      <w:r>
        <w:rPr>
          <w:rFonts w:hint="eastAsia"/>
        </w:rPr>
        <w:t>8.售后服务</w:t>
      </w:r>
      <w:bookmarkEnd w:id="268"/>
    </w:p>
    <w:p>
      <w:pPr>
        <w:spacing w:line="360" w:lineRule="auto"/>
        <w:ind w:firstLine="480"/>
        <w:rPr>
          <w:rFonts w:ascii="仿宋_GB2312" w:eastAsia="仿宋_GB2312"/>
        </w:rPr>
      </w:pPr>
      <w:r>
        <w:rPr>
          <w:rFonts w:hint="eastAsia" w:ascii="仿宋_GB2312" w:eastAsia="仿宋_GB2312"/>
        </w:rPr>
        <w:t xml:space="preserve">本仪器质保期一年，终身提供技术咨询服务。  </w:t>
      </w:r>
    </w:p>
    <w:p>
      <w:pPr>
        <w:spacing w:line="360" w:lineRule="auto"/>
        <w:ind w:firstLine="480"/>
        <w:jc w:val="center"/>
        <w:rPr>
          <w:rFonts w:hint="eastAsia" w:ascii="仿宋_GB2312" w:eastAsia="仿宋_GB2312"/>
          <w:lang w:eastAsia="zh-CN"/>
        </w:rPr>
      </w:pPr>
      <w:r>
        <w:rPr>
          <w:rFonts w:hint="eastAsia" w:ascii="仿宋_GB2312" w:eastAsia="仿宋_GB2312"/>
          <w:lang w:eastAsia="zh-CN"/>
        </w:rPr>
        <w:drawing>
          <wp:inline distT="0" distB="0" distL="114300" distR="114300">
            <wp:extent cx="1647825" cy="2472055"/>
            <wp:effectExtent l="0" t="0" r="9525" b="0"/>
            <wp:docPr id="27" name="图片 27" descr="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0047"/>
                    <pic:cNvPicPr>
                      <a:picLocks noChangeAspect="1"/>
                    </pic:cNvPicPr>
                  </pic:nvPicPr>
                  <pic:blipFill>
                    <a:blip r:embed="rId38"/>
                    <a:stretch>
                      <a:fillRect/>
                    </a:stretch>
                  </pic:blipFill>
                  <pic:spPr>
                    <a:xfrm>
                      <a:off x="0" y="0"/>
                      <a:ext cx="1647825" cy="2472055"/>
                    </a:xfrm>
                    <a:prstGeom prst="rect">
                      <a:avLst/>
                    </a:prstGeom>
                  </pic:spPr>
                </pic:pic>
              </a:graphicData>
            </a:graphic>
          </wp:inline>
        </w:drawing>
      </w:r>
    </w:p>
    <w:p>
      <w:pPr>
        <w:spacing w:line="360" w:lineRule="auto"/>
        <w:ind w:firstLine="480"/>
        <w:rPr>
          <w:rFonts w:ascii="仿宋_GB2312" w:eastAsia="仿宋_GB2312"/>
        </w:rPr>
      </w:pPr>
      <w:r>
        <w:rPr>
          <w:rFonts w:hint="eastAsia" w:ascii="仿宋_GB2312" w:eastAsia="仿宋_GB2312"/>
        </w:rPr>
        <w:t>图中的二维码主要售后服务，客户扫码注册提交关于设备的相关问题，例如设备安装、设备故障、设备调试等，以便于提供针对性技术咨询服务。（注：此二维码贴于设备上）</w:t>
      </w:r>
    </w:p>
    <w:sectPr>
      <w:footerReference r:id="rId11" w:type="first"/>
      <w:footerReference r:id="rId9" w:type="default"/>
      <w:footerReference r:id="rId10" w:type="even"/>
      <w:pgSz w:w="8419" w:h="11906" w:orient="landscape"/>
      <w:pgMar w:top="720" w:right="720" w:bottom="720" w:left="720" w:header="851" w:footer="794" w:gutter="0"/>
      <w:pgNumType w:start="1"/>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20" w:firstLineChars="13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60" o:spid="_x0000_s2060"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rPr>
                    <w:rFonts w:hint="eastAsia"/>
                  </w:rPr>
                  <w:t>1</w:t>
                </w:r>
              </w:p>
            </w:txbxContent>
          </v:textbox>
        </v:shape>
      </w:pict>
    </w:r>
  </w:p>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61" o:spid="_x0000_s2061"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8</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20" w:firstLineChars="1300"/>
    </w:pPr>
    <w: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57" o:spid="_x0000_s2057"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6</w:t>
                </w:r>
                <w:r>
                  <w:fldChar w:fldCharType="end"/>
                </w:r>
              </w:p>
            </w:txbxContent>
          </v:textbox>
        </v:shape>
      </w:pict>
    </w: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5"/>
                  <w:ind w:firstLine="360"/>
                </w:pPr>
              </w:p>
            </w:txbxContent>
          </v:textbox>
        </v:shape>
      </w:pict>
    </w:r>
  </w:p>
  <w:p>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54" o:spid="_x0000_s2054"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500" w:firstLineChars="2500"/>
      <w:jc w:val="both"/>
    </w:pPr>
    <w:r>
      <w:rPr>
        <w:rFonts w:hint="eastAsia"/>
      </w:rPr>
      <w:t>保定市蓝鹏测控科技有限公司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jc w:val="both"/>
    </w:pPr>
    <w:r>
      <w:rPr>
        <w:rFonts w:hint="eastAsia"/>
      </w:rPr>
      <w:t>测径仪使用说明书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37046"/>
    <w:multiLevelType w:val="multilevel"/>
    <w:tmpl w:val="4AB3704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
    <w:nsid w:val="618D1887"/>
    <w:multiLevelType w:val="multilevel"/>
    <w:tmpl w:val="618D18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bookFoldPrinting w:val="1"/>
  <w:bookFoldPrintingSheets w:val="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B807B6"/>
    <w:rsid w:val="00000058"/>
    <w:rsid w:val="000005E7"/>
    <w:rsid w:val="00000AC9"/>
    <w:rsid w:val="00002136"/>
    <w:rsid w:val="000025BB"/>
    <w:rsid w:val="00002637"/>
    <w:rsid w:val="00002A0D"/>
    <w:rsid w:val="00003FB9"/>
    <w:rsid w:val="00006F80"/>
    <w:rsid w:val="000132BF"/>
    <w:rsid w:val="000141D3"/>
    <w:rsid w:val="000163F6"/>
    <w:rsid w:val="00016C14"/>
    <w:rsid w:val="00016EAA"/>
    <w:rsid w:val="00017675"/>
    <w:rsid w:val="00017D6C"/>
    <w:rsid w:val="00017F7A"/>
    <w:rsid w:val="00020BE1"/>
    <w:rsid w:val="0002218F"/>
    <w:rsid w:val="000223D6"/>
    <w:rsid w:val="00026520"/>
    <w:rsid w:val="00026CE5"/>
    <w:rsid w:val="000273C1"/>
    <w:rsid w:val="00027984"/>
    <w:rsid w:val="000300B3"/>
    <w:rsid w:val="00030C6F"/>
    <w:rsid w:val="00033ACD"/>
    <w:rsid w:val="00035402"/>
    <w:rsid w:val="00035439"/>
    <w:rsid w:val="000377EE"/>
    <w:rsid w:val="00037BB2"/>
    <w:rsid w:val="00037C39"/>
    <w:rsid w:val="0004232B"/>
    <w:rsid w:val="00042F0E"/>
    <w:rsid w:val="00044E01"/>
    <w:rsid w:val="00046963"/>
    <w:rsid w:val="000469AC"/>
    <w:rsid w:val="0004738D"/>
    <w:rsid w:val="000526B6"/>
    <w:rsid w:val="000533A3"/>
    <w:rsid w:val="0005383D"/>
    <w:rsid w:val="00053886"/>
    <w:rsid w:val="00053EAB"/>
    <w:rsid w:val="00054B99"/>
    <w:rsid w:val="000574A6"/>
    <w:rsid w:val="00057BCC"/>
    <w:rsid w:val="00057FC0"/>
    <w:rsid w:val="00060048"/>
    <w:rsid w:val="00062A17"/>
    <w:rsid w:val="00062E20"/>
    <w:rsid w:val="000647A9"/>
    <w:rsid w:val="00066066"/>
    <w:rsid w:val="00066E4E"/>
    <w:rsid w:val="00067460"/>
    <w:rsid w:val="000677D9"/>
    <w:rsid w:val="000721F9"/>
    <w:rsid w:val="00072664"/>
    <w:rsid w:val="00075037"/>
    <w:rsid w:val="000750CD"/>
    <w:rsid w:val="00075363"/>
    <w:rsid w:val="0007732C"/>
    <w:rsid w:val="00077BDE"/>
    <w:rsid w:val="0008068B"/>
    <w:rsid w:val="000808A0"/>
    <w:rsid w:val="00080E63"/>
    <w:rsid w:val="00081E41"/>
    <w:rsid w:val="00083497"/>
    <w:rsid w:val="00084012"/>
    <w:rsid w:val="0008428A"/>
    <w:rsid w:val="000854B6"/>
    <w:rsid w:val="00085880"/>
    <w:rsid w:val="0008797C"/>
    <w:rsid w:val="00090098"/>
    <w:rsid w:val="000919E2"/>
    <w:rsid w:val="00091E67"/>
    <w:rsid w:val="0009201D"/>
    <w:rsid w:val="0009241F"/>
    <w:rsid w:val="00092BA8"/>
    <w:rsid w:val="00095AE5"/>
    <w:rsid w:val="000972D3"/>
    <w:rsid w:val="000A10E4"/>
    <w:rsid w:val="000A33D2"/>
    <w:rsid w:val="000A4523"/>
    <w:rsid w:val="000B03B5"/>
    <w:rsid w:val="000B088F"/>
    <w:rsid w:val="000B276B"/>
    <w:rsid w:val="000B2FA1"/>
    <w:rsid w:val="000B35BB"/>
    <w:rsid w:val="000B5DE9"/>
    <w:rsid w:val="000B6384"/>
    <w:rsid w:val="000B675B"/>
    <w:rsid w:val="000C3047"/>
    <w:rsid w:val="000C33B7"/>
    <w:rsid w:val="000C33E3"/>
    <w:rsid w:val="000C3466"/>
    <w:rsid w:val="000C387E"/>
    <w:rsid w:val="000C4B96"/>
    <w:rsid w:val="000C60C4"/>
    <w:rsid w:val="000C62EF"/>
    <w:rsid w:val="000C6857"/>
    <w:rsid w:val="000D01DE"/>
    <w:rsid w:val="000D08FF"/>
    <w:rsid w:val="000D2D6E"/>
    <w:rsid w:val="000D5797"/>
    <w:rsid w:val="000E040C"/>
    <w:rsid w:val="000E16F8"/>
    <w:rsid w:val="000E235B"/>
    <w:rsid w:val="000E2841"/>
    <w:rsid w:val="000E29B1"/>
    <w:rsid w:val="000E29E8"/>
    <w:rsid w:val="000E48F5"/>
    <w:rsid w:val="000E5D91"/>
    <w:rsid w:val="000E6477"/>
    <w:rsid w:val="000E6551"/>
    <w:rsid w:val="000E66D5"/>
    <w:rsid w:val="000F01B8"/>
    <w:rsid w:val="000F1B7D"/>
    <w:rsid w:val="000F3CD6"/>
    <w:rsid w:val="000F4B91"/>
    <w:rsid w:val="000F756F"/>
    <w:rsid w:val="001015DB"/>
    <w:rsid w:val="00102208"/>
    <w:rsid w:val="00104D82"/>
    <w:rsid w:val="00105B4D"/>
    <w:rsid w:val="00106585"/>
    <w:rsid w:val="00106D51"/>
    <w:rsid w:val="00106D67"/>
    <w:rsid w:val="00111727"/>
    <w:rsid w:val="00111BCC"/>
    <w:rsid w:val="00115982"/>
    <w:rsid w:val="0012029A"/>
    <w:rsid w:val="00120A5E"/>
    <w:rsid w:val="001216A7"/>
    <w:rsid w:val="00121A9C"/>
    <w:rsid w:val="0012259B"/>
    <w:rsid w:val="001235F7"/>
    <w:rsid w:val="00124625"/>
    <w:rsid w:val="00126CD1"/>
    <w:rsid w:val="00127D2B"/>
    <w:rsid w:val="00130AA7"/>
    <w:rsid w:val="0013105B"/>
    <w:rsid w:val="001311D2"/>
    <w:rsid w:val="0013166A"/>
    <w:rsid w:val="00131C6B"/>
    <w:rsid w:val="0013204B"/>
    <w:rsid w:val="001335A1"/>
    <w:rsid w:val="0013446B"/>
    <w:rsid w:val="00135442"/>
    <w:rsid w:val="00137816"/>
    <w:rsid w:val="00137FDD"/>
    <w:rsid w:val="00142B93"/>
    <w:rsid w:val="001453E5"/>
    <w:rsid w:val="001456A7"/>
    <w:rsid w:val="001540BD"/>
    <w:rsid w:val="0015461E"/>
    <w:rsid w:val="001568CB"/>
    <w:rsid w:val="00156942"/>
    <w:rsid w:val="0015742E"/>
    <w:rsid w:val="001605E2"/>
    <w:rsid w:val="001610DC"/>
    <w:rsid w:val="001610F3"/>
    <w:rsid w:val="00161514"/>
    <w:rsid w:val="001625A6"/>
    <w:rsid w:val="00163073"/>
    <w:rsid w:val="0016323C"/>
    <w:rsid w:val="00163B37"/>
    <w:rsid w:val="00165232"/>
    <w:rsid w:val="001659A4"/>
    <w:rsid w:val="00165D8E"/>
    <w:rsid w:val="00165EFE"/>
    <w:rsid w:val="00166176"/>
    <w:rsid w:val="00166428"/>
    <w:rsid w:val="00167E4C"/>
    <w:rsid w:val="001711D6"/>
    <w:rsid w:val="0017209F"/>
    <w:rsid w:val="00173A1C"/>
    <w:rsid w:val="00175F47"/>
    <w:rsid w:val="00176549"/>
    <w:rsid w:val="00176C2C"/>
    <w:rsid w:val="00177699"/>
    <w:rsid w:val="00177EC6"/>
    <w:rsid w:val="00180BC2"/>
    <w:rsid w:val="00180DF4"/>
    <w:rsid w:val="00182845"/>
    <w:rsid w:val="00182F5D"/>
    <w:rsid w:val="001831A3"/>
    <w:rsid w:val="0018412A"/>
    <w:rsid w:val="00186D1E"/>
    <w:rsid w:val="0018768B"/>
    <w:rsid w:val="00187894"/>
    <w:rsid w:val="00187F13"/>
    <w:rsid w:val="0019218F"/>
    <w:rsid w:val="00192714"/>
    <w:rsid w:val="001931D5"/>
    <w:rsid w:val="001960BB"/>
    <w:rsid w:val="00197BFC"/>
    <w:rsid w:val="00197D7C"/>
    <w:rsid w:val="001A184C"/>
    <w:rsid w:val="001A261F"/>
    <w:rsid w:val="001A3638"/>
    <w:rsid w:val="001A3AB7"/>
    <w:rsid w:val="001A3B57"/>
    <w:rsid w:val="001A47C5"/>
    <w:rsid w:val="001A4E63"/>
    <w:rsid w:val="001A5605"/>
    <w:rsid w:val="001A56B1"/>
    <w:rsid w:val="001A64AF"/>
    <w:rsid w:val="001A6709"/>
    <w:rsid w:val="001A691D"/>
    <w:rsid w:val="001A6BDC"/>
    <w:rsid w:val="001A73E2"/>
    <w:rsid w:val="001B2588"/>
    <w:rsid w:val="001B2B64"/>
    <w:rsid w:val="001B69A4"/>
    <w:rsid w:val="001C1934"/>
    <w:rsid w:val="001C1EC7"/>
    <w:rsid w:val="001C282D"/>
    <w:rsid w:val="001C2A96"/>
    <w:rsid w:val="001C2E1A"/>
    <w:rsid w:val="001C2EAC"/>
    <w:rsid w:val="001C33FC"/>
    <w:rsid w:val="001C39E0"/>
    <w:rsid w:val="001C5079"/>
    <w:rsid w:val="001C5DB6"/>
    <w:rsid w:val="001C78A3"/>
    <w:rsid w:val="001C7BAA"/>
    <w:rsid w:val="001C7F03"/>
    <w:rsid w:val="001D03D0"/>
    <w:rsid w:val="001D0D60"/>
    <w:rsid w:val="001D10C0"/>
    <w:rsid w:val="001D28DE"/>
    <w:rsid w:val="001D2B4C"/>
    <w:rsid w:val="001D2B65"/>
    <w:rsid w:val="001D2E14"/>
    <w:rsid w:val="001D45B6"/>
    <w:rsid w:val="001D6BC0"/>
    <w:rsid w:val="001E0C8A"/>
    <w:rsid w:val="001E1351"/>
    <w:rsid w:val="001E156B"/>
    <w:rsid w:val="001E19AB"/>
    <w:rsid w:val="001E2E03"/>
    <w:rsid w:val="001E5AC9"/>
    <w:rsid w:val="001E6359"/>
    <w:rsid w:val="001E779A"/>
    <w:rsid w:val="001F0F76"/>
    <w:rsid w:val="001F1ABB"/>
    <w:rsid w:val="001F2201"/>
    <w:rsid w:val="001F3508"/>
    <w:rsid w:val="001F3971"/>
    <w:rsid w:val="001F44EC"/>
    <w:rsid w:val="001F44EE"/>
    <w:rsid w:val="001F48D1"/>
    <w:rsid w:val="001F4D60"/>
    <w:rsid w:val="001F597F"/>
    <w:rsid w:val="001F5D9C"/>
    <w:rsid w:val="001F6377"/>
    <w:rsid w:val="001F680C"/>
    <w:rsid w:val="001F7C8F"/>
    <w:rsid w:val="00200D38"/>
    <w:rsid w:val="0020132B"/>
    <w:rsid w:val="00202457"/>
    <w:rsid w:val="00202701"/>
    <w:rsid w:val="00202C0F"/>
    <w:rsid w:val="00203149"/>
    <w:rsid w:val="0020454B"/>
    <w:rsid w:val="002046D3"/>
    <w:rsid w:val="00207273"/>
    <w:rsid w:val="00210722"/>
    <w:rsid w:val="0021228F"/>
    <w:rsid w:val="00212CC5"/>
    <w:rsid w:val="0021319F"/>
    <w:rsid w:val="002137D3"/>
    <w:rsid w:val="00215A50"/>
    <w:rsid w:val="0021609C"/>
    <w:rsid w:val="0021638C"/>
    <w:rsid w:val="00216993"/>
    <w:rsid w:val="00217B3A"/>
    <w:rsid w:val="00217D45"/>
    <w:rsid w:val="002200E8"/>
    <w:rsid w:val="00220CB7"/>
    <w:rsid w:val="002212F3"/>
    <w:rsid w:val="002213AF"/>
    <w:rsid w:val="00222729"/>
    <w:rsid w:val="00222BE5"/>
    <w:rsid w:val="00223263"/>
    <w:rsid w:val="00224B9E"/>
    <w:rsid w:val="00225297"/>
    <w:rsid w:val="00226D05"/>
    <w:rsid w:val="00227465"/>
    <w:rsid w:val="00231F61"/>
    <w:rsid w:val="00232D84"/>
    <w:rsid w:val="00233CDB"/>
    <w:rsid w:val="0023448F"/>
    <w:rsid w:val="00235EE8"/>
    <w:rsid w:val="00235FE9"/>
    <w:rsid w:val="00240014"/>
    <w:rsid w:val="002405B1"/>
    <w:rsid w:val="002411EC"/>
    <w:rsid w:val="002425D2"/>
    <w:rsid w:val="00242FD3"/>
    <w:rsid w:val="00243BBE"/>
    <w:rsid w:val="00244AEF"/>
    <w:rsid w:val="002451BB"/>
    <w:rsid w:val="0024523B"/>
    <w:rsid w:val="0024564E"/>
    <w:rsid w:val="00246014"/>
    <w:rsid w:val="00246027"/>
    <w:rsid w:val="00246C8B"/>
    <w:rsid w:val="002474BA"/>
    <w:rsid w:val="002475B0"/>
    <w:rsid w:val="002508FB"/>
    <w:rsid w:val="00250F66"/>
    <w:rsid w:val="00250FD3"/>
    <w:rsid w:val="00251FE6"/>
    <w:rsid w:val="002524D6"/>
    <w:rsid w:val="00252E65"/>
    <w:rsid w:val="00252FAD"/>
    <w:rsid w:val="00253335"/>
    <w:rsid w:val="002553E4"/>
    <w:rsid w:val="00260109"/>
    <w:rsid w:val="002604CC"/>
    <w:rsid w:val="00262A95"/>
    <w:rsid w:val="00262E15"/>
    <w:rsid w:val="002714C8"/>
    <w:rsid w:val="00272532"/>
    <w:rsid w:val="0027266E"/>
    <w:rsid w:val="00272E84"/>
    <w:rsid w:val="00273786"/>
    <w:rsid w:val="00275EDE"/>
    <w:rsid w:val="0027658E"/>
    <w:rsid w:val="002772CF"/>
    <w:rsid w:val="00277DF8"/>
    <w:rsid w:val="002807DA"/>
    <w:rsid w:val="00282B28"/>
    <w:rsid w:val="00282D6E"/>
    <w:rsid w:val="00283313"/>
    <w:rsid w:val="00283B06"/>
    <w:rsid w:val="00284D25"/>
    <w:rsid w:val="002867E0"/>
    <w:rsid w:val="0029026F"/>
    <w:rsid w:val="002940E0"/>
    <w:rsid w:val="00294177"/>
    <w:rsid w:val="00294C0E"/>
    <w:rsid w:val="002969E0"/>
    <w:rsid w:val="00296ADA"/>
    <w:rsid w:val="00297991"/>
    <w:rsid w:val="00297A2C"/>
    <w:rsid w:val="002A24A9"/>
    <w:rsid w:val="002A2F3B"/>
    <w:rsid w:val="002A35D7"/>
    <w:rsid w:val="002A4B96"/>
    <w:rsid w:val="002A5400"/>
    <w:rsid w:val="002A56C1"/>
    <w:rsid w:val="002A7189"/>
    <w:rsid w:val="002A7A7E"/>
    <w:rsid w:val="002B1933"/>
    <w:rsid w:val="002B2C6E"/>
    <w:rsid w:val="002B517B"/>
    <w:rsid w:val="002B544C"/>
    <w:rsid w:val="002B63D4"/>
    <w:rsid w:val="002C1392"/>
    <w:rsid w:val="002C227D"/>
    <w:rsid w:val="002C23CA"/>
    <w:rsid w:val="002C3550"/>
    <w:rsid w:val="002C37F0"/>
    <w:rsid w:val="002C4B17"/>
    <w:rsid w:val="002C591A"/>
    <w:rsid w:val="002C71C9"/>
    <w:rsid w:val="002D1474"/>
    <w:rsid w:val="002D18D0"/>
    <w:rsid w:val="002D2B8E"/>
    <w:rsid w:val="002D2C4A"/>
    <w:rsid w:val="002D5614"/>
    <w:rsid w:val="002D5D5E"/>
    <w:rsid w:val="002D5E3A"/>
    <w:rsid w:val="002D62D4"/>
    <w:rsid w:val="002D7405"/>
    <w:rsid w:val="002D7E2A"/>
    <w:rsid w:val="002E2654"/>
    <w:rsid w:val="002E48AE"/>
    <w:rsid w:val="002E604B"/>
    <w:rsid w:val="002E6A74"/>
    <w:rsid w:val="002E6A99"/>
    <w:rsid w:val="002E73CA"/>
    <w:rsid w:val="002F0D79"/>
    <w:rsid w:val="002F0FEF"/>
    <w:rsid w:val="002F167A"/>
    <w:rsid w:val="002F2DEC"/>
    <w:rsid w:val="002F3D64"/>
    <w:rsid w:val="002F4860"/>
    <w:rsid w:val="002F5F7F"/>
    <w:rsid w:val="002F627D"/>
    <w:rsid w:val="002F65B0"/>
    <w:rsid w:val="002F7FBA"/>
    <w:rsid w:val="00301029"/>
    <w:rsid w:val="00301AA6"/>
    <w:rsid w:val="0030219D"/>
    <w:rsid w:val="0030501E"/>
    <w:rsid w:val="00305803"/>
    <w:rsid w:val="00306F67"/>
    <w:rsid w:val="00311205"/>
    <w:rsid w:val="003130B7"/>
    <w:rsid w:val="0031340F"/>
    <w:rsid w:val="0031509D"/>
    <w:rsid w:val="003152A0"/>
    <w:rsid w:val="0031644F"/>
    <w:rsid w:val="003204AB"/>
    <w:rsid w:val="0032336A"/>
    <w:rsid w:val="003236A0"/>
    <w:rsid w:val="003242DC"/>
    <w:rsid w:val="003245BE"/>
    <w:rsid w:val="00324976"/>
    <w:rsid w:val="003249FE"/>
    <w:rsid w:val="00325803"/>
    <w:rsid w:val="00326BE4"/>
    <w:rsid w:val="00327B0D"/>
    <w:rsid w:val="00332F4F"/>
    <w:rsid w:val="003336FF"/>
    <w:rsid w:val="00335D40"/>
    <w:rsid w:val="00336659"/>
    <w:rsid w:val="00337C5E"/>
    <w:rsid w:val="00337D18"/>
    <w:rsid w:val="00340997"/>
    <w:rsid w:val="00340A0F"/>
    <w:rsid w:val="003418E7"/>
    <w:rsid w:val="0034307F"/>
    <w:rsid w:val="003443CA"/>
    <w:rsid w:val="00344EA6"/>
    <w:rsid w:val="00345235"/>
    <w:rsid w:val="0034633D"/>
    <w:rsid w:val="003465C4"/>
    <w:rsid w:val="00346A7E"/>
    <w:rsid w:val="00350835"/>
    <w:rsid w:val="003514A1"/>
    <w:rsid w:val="003517FB"/>
    <w:rsid w:val="00351827"/>
    <w:rsid w:val="00351840"/>
    <w:rsid w:val="00353426"/>
    <w:rsid w:val="00353E20"/>
    <w:rsid w:val="00355583"/>
    <w:rsid w:val="00355877"/>
    <w:rsid w:val="00355A1A"/>
    <w:rsid w:val="0035619F"/>
    <w:rsid w:val="003564DC"/>
    <w:rsid w:val="00356A5A"/>
    <w:rsid w:val="00356F3F"/>
    <w:rsid w:val="003607A3"/>
    <w:rsid w:val="00360B45"/>
    <w:rsid w:val="00362828"/>
    <w:rsid w:val="003633A3"/>
    <w:rsid w:val="00364019"/>
    <w:rsid w:val="0036527B"/>
    <w:rsid w:val="0036571A"/>
    <w:rsid w:val="00365A74"/>
    <w:rsid w:val="0036605B"/>
    <w:rsid w:val="00370B26"/>
    <w:rsid w:val="0037162A"/>
    <w:rsid w:val="00371777"/>
    <w:rsid w:val="0037276B"/>
    <w:rsid w:val="0037297E"/>
    <w:rsid w:val="003779FB"/>
    <w:rsid w:val="00382B1B"/>
    <w:rsid w:val="00384340"/>
    <w:rsid w:val="00385A42"/>
    <w:rsid w:val="00386A82"/>
    <w:rsid w:val="003873F2"/>
    <w:rsid w:val="00387F46"/>
    <w:rsid w:val="00390A5D"/>
    <w:rsid w:val="00391B73"/>
    <w:rsid w:val="00395C56"/>
    <w:rsid w:val="003A0CC6"/>
    <w:rsid w:val="003A2720"/>
    <w:rsid w:val="003A2B86"/>
    <w:rsid w:val="003A3983"/>
    <w:rsid w:val="003A7B70"/>
    <w:rsid w:val="003A7B9E"/>
    <w:rsid w:val="003A7C05"/>
    <w:rsid w:val="003B0D38"/>
    <w:rsid w:val="003B14EF"/>
    <w:rsid w:val="003B1C56"/>
    <w:rsid w:val="003B204B"/>
    <w:rsid w:val="003B2B7A"/>
    <w:rsid w:val="003B4759"/>
    <w:rsid w:val="003B52A8"/>
    <w:rsid w:val="003B687B"/>
    <w:rsid w:val="003B691D"/>
    <w:rsid w:val="003C0CD8"/>
    <w:rsid w:val="003C0E4B"/>
    <w:rsid w:val="003C1025"/>
    <w:rsid w:val="003C1D67"/>
    <w:rsid w:val="003C1E8D"/>
    <w:rsid w:val="003C2E46"/>
    <w:rsid w:val="003C5CE4"/>
    <w:rsid w:val="003C76CE"/>
    <w:rsid w:val="003C7A7C"/>
    <w:rsid w:val="003D07BC"/>
    <w:rsid w:val="003D10D0"/>
    <w:rsid w:val="003D410D"/>
    <w:rsid w:val="003D4374"/>
    <w:rsid w:val="003D4390"/>
    <w:rsid w:val="003E19A9"/>
    <w:rsid w:val="003E22E4"/>
    <w:rsid w:val="003E374F"/>
    <w:rsid w:val="003E5414"/>
    <w:rsid w:val="003E65E5"/>
    <w:rsid w:val="003E6F42"/>
    <w:rsid w:val="003E7CDC"/>
    <w:rsid w:val="003F0E7D"/>
    <w:rsid w:val="003F17FB"/>
    <w:rsid w:val="003F3896"/>
    <w:rsid w:val="003F395A"/>
    <w:rsid w:val="003F448B"/>
    <w:rsid w:val="003F49EC"/>
    <w:rsid w:val="003F5E61"/>
    <w:rsid w:val="003F68D8"/>
    <w:rsid w:val="004003BC"/>
    <w:rsid w:val="0040074E"/>
    <w:rsid w:val="004007A3"/>
    <w:rsid w:val="00401B50"/>
    <w:rsid w:val="00401DBF"/>
    <w:rsid w:val="00402880"/>
    <w:rsid w:val="004029D9"/>
    <w:rsid w:val="0040551D"/>
    <w:rsid w:val="00406770"/>
    <w:rsid w:val="004068B0"/>
    <w:rsid w:val="00407076"/>
    <w:rsid w:val="00407924"/>
    <w:rsid w:val="00407B75"/>
    <w:rsid w:val="00410877"/>
    <w:rsid w:val="00411D00"/>
    <w:rsid w:val="00412D21"/>
    <w:rsid w:val="00413207"/>
    <w:rsid w:val="0042154F"/>
    <w:rsid w:val="00422188"/>
    <w:rsid w:val="00422350"/>
    <w:rsid w:val="0042284D"/>
    <w:rsid w:val="0042314B"/>
    <w:rsid w:val="004235BD"/>
    <w:rsid w:val="00423A75"/>
    <w:rsid w:val="00423C52"/>
    <w:rsid w:val="00427B3A"/>
    <w:rsid w:val="004305A0"/>
    <w:rsid w:val="004309F7"/>
    <w:rsid w:val="00431235"/>
    <w:rsid w:val="00432FB6"/>
    <w:rsid w:val="00435321"/>
    <w:rsid w:val="00435A81"/>
    <w:rsid w:val="00435DFA"/>
    <w:rsid w:val="004369CF"/>
    <w:rsid w:val="0043791D"/>
    <w:rsid w:val="00441444"/>
    <w:rsid w:val="0044164A"/>
    <w:rsid w:val="00441BE4"/>
    <w:rsid w:val="004431E9"/>
    <w:rsid w:val="004469A8"/>
    <w:rsid w:val="00446D14"/>
    <w:rsid w:val="00446DC2"/>
    <w:rsid w:val="0044709F"/>
    <w:rsid w:val="00450D0A"/>
    <w:rsid w:val="00452E9C"/>
    <w:rsid w:val="00452FE6"/>
    <w:rsid w:val="004538B2"/>
    <w:rsid w:val="00453DEC"/>
    <w:rsid w:val="00455090"/>
    <w:rsid w:val="004570A6"/>
    <w:rsid w:val="00457968"/>
    <w:rsid w:val="00457C36"/>
    <w:rsid w:val="0046077A"/>
    <w:rsid w:val="00460866"/>
    <w:rsid w:val="004621DF"/>
    <w:rsid w:val="00462E58"/>
    <w:rsid w:val="00463A6C"/>
    <w:rsid w:val="00464087"/>
    <w:rsid w:val="00464231"/>
    <w:rsid w:val="004649DA"/>
    <w:rsid w:val="00466CA9"/>
    <w:rsid w:val="00466DC4"/>
    <w:rsid w:val="00467219"/>
    <w:rsid w:val="004677A4"/>
    <w:rsid w:val="00470A9C"/>
    <w:rsid w:val="00471E26"/>
    <w:rsid w:val="004723D5"/>
    <w:rsid w:val="00473193"/>
    <w:rsid w:val="0047365D"/>
    <w:rsid w:val="00474378"/>
    <w:rsid w:val="00474596"/>
    <w:rsid w:val="004757B9"/>
    <w:rsid w:val="00475BE1"/>
    <w:rsid w:val="00480141"/>
    <w:rsid w:val="00480302"/>
    <w:rsid w:val="00480357"/>
    <w:rsid w:val="004808DF"/>
    <w:rsid w:val="00481D1D"/>
    <w:rsid w:val="0048300D"/>
    <w:rsid w:val="00483EF7"/>
    <w:rsid w:val="004843D5"/>
    <w:rsid w:val="00484D8A"/>
    <w:rsid w:val="004854BD"/>
    <w:rsid w:val="00490710"/>
    <w:rsid w:val="0049099D"/>
    <w:rsid w:val="00492833"/>
    <w:rsid w:val="00493C35"/>
    <w:rsid w:val="004957AB"/>
    <w:rsid w:val="0049799D"/>
    <w:rsid w:val="004A1F10"/>
    <w:rsid w:val="004A3B0A"/>
    <w:rsid w:val="004A53F8"/>
    <w:rsid w:val="004A5FB6"/>
    <w:rsid w:val="004A671A"/>
    <w:rsid w:val="004B1F6F"/>
    <w:rsid w:val="004B263A"/>
    <w:rsid w:val="004B2A35"/>
    <w:rsid w:val="004B3660"/>
    <w:rsid w:val="004B464E"/>
    <w:rsid w:val="004B4BAE"/>
    <w:rsid w:val="004B4C78"/>
    <w:rsid w:val="004B53CA"/>
    <w:rsid w:val="004B5406"/>
    <w:rsid w:val="004B5DE8"/>
    <w:rsid w:val="004B5F27"/>
    <w:rsid w:val="004B5FB1"/>
    <w:rsid w:val="004C33A2"/>
    <w:rsid w:val="004C53E5"/>
    <w:rsid w:val="004C5485"/>
    <w:rsid w:val="004C6A45"/>
    <w:rsid w:val="004C7C69"/>
    <w:rsid w:val="004D01CA"/>
    <w:rsid w:val="004D0553"/>
    <w:rsid w:val="004D0CD3"/>
    <w:rsid w:val="004D1753"/>
    <w:rsid w:val="004D18A8"/>
    <w:rsid w:val="004D2EFF"/>
    <w:rsid w:val="004D4587"/>
    <w:rsid w:val="004D5B81"/>
    <w:rsid w:val="004D5CD8"/>
    <w:rsid w:val="004D5E42"/>
    <w:rsid w:val="004D7289"/>
    <w:rsid w:val="004D7317"/>
    <w:rsid w:val="004E123F"/>
    <w:rsid w:val="004E1EC1"/>
    <w:rsid w:val="004E2410"/>
    <w:rsid w:val="004E3A8E"/>
    <w:rsid w:val="004E4FA3"/>
    <w:rsid w:val="004E6129"/>
    <w:rsid w:val="004F0AC3"/>
    <w:rsid w:val="004F1640"/>
    <w:rsid w:val="004F270B"/>
    <w:rsid w:val="004F4086"/>
    <w:rsid w:val="004F4E35"/>
    <w:rsid w:val="004F6216"/>
    <w:rsid w:val="00501196"/>
    <w:rsid w:val="005013C9"/>
    <w:rsid w:val="005013FA"/>
    <w:rsid w:val="00501510"/>
    <w:rsid w:val="00503406"/>
    <w:rsid w:val="0050397C"/>
    <w:rsid w:val="00506A89"/>
    <w:rsid w:val="00506BBA"/>
    <w:rsid w:val="00506CDC"/>
    <w:rsid w:val="00510DEF"/>
    <w:rsid w:val="00511B8D"/>
    <w:rsid w:val="00512B28"/>
    <w:rsid w:val="00514892"/>
    <w:rsid w:val="0051620E"/>
    <w:rsid w:val="00516BBE"/>
    <w:rsid w:val="00517F23"/>
    <w:rsid w:val="00517F97"/>
    <w:rsid w:val="00520460"/>
    <w:rsid w:val="00520585"/>
    <w:rsid w:val="00520CD2"/>
    <w:rsid w:val="005219AC"/>
    <w:rsid w:val="00523139"/>
    <w:rsid w:val="00523EEF"/>
    <w:rsid w:val="0052414E"/>
    <w:rsid w:val="005249D0"/>
    <w:rsid w:val="00526237"/>
    <w:rsid w:val="00527025"/>
    <w:rsid w:val="00527BCB"/>
    <w:rsid w:val="005307D0"/>
    <w:rsid w:val="0053165A"/>
    <w:rsid w:val="00531AB2"/>
    <w:rsid w:val="00531CD3"/>
    <w:rsid w:val="0053308C"/>
    <w:rsid w:val="00533519"/>
    <w:rsid w:val="00534207"/>
    <w:rsid w:val="005356B8"/>
    <w:rsid w:val="00535A8B"/>
    <w:rsid w:val="00535B7C"/>
    <w:rsid w:val="00536D2B"/>
    <w:rsid w:val="00540F4F"/>
    <w:rsid w:val="00541860"/>
    <w:rsid w:val="00541B48"/>
    <w:rsid w:val="00542DDC"/>
    <w:rsid w:val="0054381A"/>
    <w:rsid w:val="00546740"/>
    <w:rsid w:val="005519AB"/>
    <w:rsid w:val="005521A0"/>
    <w:rsid w:val="00554347"/>
    <w:rsid w:val="00554BF8"/>
    <w:rsid w:val="00554D16"/>
    <w:rsid w:val="005551A7"/>
    <w:rsid w:val="00555CFD"/>
    <w:rsid w:val="00555F40"/>
    <w:rsid w:val="00556415"/>
    <w:rsid w:val="005564A2"/>
    <w:rsid w:val="00556CF9"/>
    <w:rsid w:val="00561B9F"/>
    <w:rsid w:val="0056318E"/>
    <w:rsid w:val="00563833"/>
    <w:rsid w:val="00565853"/>
    <w:rsid w:val="00565C8C"/>
    <w:rsid w:val="005665BE"/>
    <w:rsid w:val="005703D7"/>
    <w:rsid w:val="00570CFE"/>
    <w:rsid w:val="00571123"/>
    <w:rsid w:val="0057114F"/>
    <w:rsid w:val="005720A9"/>
    <w:rsid w:val="005738FC"/>
    <w:rsid w:val="005739CD"/>
    <w:rsid w:val="00574355"/>
    <w:rsid w:val="0057497B"/>
    <w:rsid w:val="00575AA1"/>
    <w:rsid w:val="00577A3F"/>
    <w:rsid w:val="00580621"/>
    <w:rsid w:val="0058145A"/>
    <w:rsid w:val="00583459"/>
    <w:rsid w:val="00583EF1"/>
    <w:rsid w:val="00584DB8"/>
    <w:rsid w:val="00590541"/>
    <w:rsid w:val="0059137F"/>
    <w:rsid w:val="005915C5"/>
    <w:rsid w:val="005951A4"/>
    <w:rsid w:val="00595486"/>
    <w:rsid w:val="0059583F"/>
    <w:rsid w:val="005A02E0"/>
    <w:rsid w:val="005A24EA"/>
    <w:rsid w:val="005A41EF"/>
    <w:rsid w:val="005A424C"/>
    <w:rsid w:val="005A4CBD"/>
    <w:rsid w:val="005A5343"/>
    <w:rsid w:val="005A5610"/>
    <w:rsid w:val="005A682D"/>
    <w:rsid w:val="005B00B6"/>
    <w:rsid w:val="005B1155"/>
    <w:rsid w:val="005B16DB"/>
    <w:rsid w:val="005B50C4"/>
    <w:rsid w:val="005B62EE"/>
    <w:rsid w:val="005B666C"/>
    <w:rsid w:val="005C21E7"/>
    <w:rsid w:val="005C4F3C"/>
    <w:rsid w:val="005C4FCD"/>
    <w:rsid w:val="005C6C6E"/>
    <w:rsid w:val="005D006D"/>
    <w:rsid w:val="005D1A08"/>
    <w:rsid w:val="005D1B6A"/>
    <w:rsid w:val="005D24F8"/>
    <w:rsid w:val="005D326C"/>
    <w:rsid w:val="005D52EA"/>
    <w:rsid w:val="005D75FF"/>
    <w:rsid w:val="005E0924"/>
    <w:rsid w:val="005E235E"/>
    <w:rsid w:val="005E2FDC"/>
    <w:rsid w:val="005E3D96"/>
    <w:rsid w:val="005E3E44"/>
    <w:rsid w:val="005E405D"/>
    <w:rsid w:val="005E6124"/>
    <w:rsid w:val="005E641B"/>
    <w:rsid w:val="005E6924"/>
    <w:rsid w:val="005F1404"/>
    <w:rsid w:val="005F181F"/>
    <w:rsid w:val="005F26C6"/>
    <w:rsid w:val="005F4FE8"/>
    <w:rsid w:val="005F7789"/>
    <w:rsid w:val="00600677"/>
    <w:rsid w:val="0060088B"/>
    <w:rsid w:val="00600C99"/>
    <w:rsid w:val="006033C1"/>
    <w:rsid w:val="0060552F"/>
    <w:rsid w:val="0060663F"/>
    <w:rsid w:val="00606BF8"/>
    <w:rsid w:val="00607E2B"/>
    <w:rsid w:val="0061146A"/>
    <w:rsid w:val="00611ACC"/>
    <w:rsid w:val="006121B8"/>
    <w:rsid w:val="00612737"/>
    <w:rsid w:val="006138E2"/>
    <w:rsid w:val="00613B17"/>
    <w:rsid w:val="006174AE"/>
    <w:rsid w:val="00617535"/>
    <w:rsid w:val="006177BE"/>
    <w:rsid w:val="006213E1"/>
    <w:rsid w:val="00621B54"/>
    <w:rsid w:val="00622AA0"/>
    <w:rsid w:val="00622BFE"/>
    <w:rsid w:val="00623CEC"/>
    <w:rsid w:val="00624080"/>
    <w:rsid w:val="00624122"/>
    <w:rsid w:val="00625273"/>
    <w:rsid w:val="00625D03"/>
    <w:rsid w:val="00627343"/>
    <w:rsid w:val="00627E24"/>
    <w:rsid w:val="00630394"/>
    <w:rsid w:val="006311EF"/>
    <w:rsid w:val="00631216"/>
    <w:rsid w:val="0063131D"/>
    <w:rsid w:val="0063143E"/>
    <w:rsid w:val="006321A0"/>
    <w:rsid w:val="00633577"/>
    <w:rsid w:val="0063435E"/>
    <w:rsid w:val="00634577"/>
    <w:rsid w:val="00634F0E"/>
    <w:rsid w:val="006353FC"/>
    <w:rsid w:val="00636265"/>
    <w:rsid w:val="00644040"/>
    <w:rsid w:val="0064453E"/>
    <w:rsid w:val="00645455"/>
    <w:rsid w:val="006455E4"/>
    <w:rsid w:val="0064730F"/>
    <w:rsid w:val="00647B90"/>
    <w:rsid w:val="006504B4"/>
    <w:rsid w:val="00653028"/>
    <w:rsid w:val="00654C2D"/>
    <w:rsid w:val="00654FEC"/>
    <w:rsid w:val="00655619"/>
    <w:rsid w:val="006565C4"/>
    <w:rsid w:val="00661EBF"/>
    <w:rsid w:val="006649DB"/>
    <w:rsid w:val="006655D5"/>
    <w:rsid w:val="00666733"/>
    <w:rsid w:val="00667080"/>
    <w:rsid w:val="006674D6"/>
    <w:rsid w:val="00670C38"/>
    <w:rsid w:val="00670D0B"/>
    <w:rsid w:val="00670F9E"/>
    <w:rsid w:val="00671409"/>
    <w:rsid w:val="00672282"/>
    <w:rsid w:val="00672F9D"/>
    <w:rsid w:val="00673A16"/>
    <w:rsid w:val="00673CDA"/>
    <w:rsid w:val="00673FA5"/>
    <w:rsid w:val="00674943"/>
    <w:rsid w:val="00674E88"/>
    <w:rsid w:val="00675A3E"/>
    <w:rsid w:val="00675D68"/>
    <w:rsid w:val="00676032"/>
    <w:rsid w:val="006769C5"/>
    <w:rsid w:val="00680FE8"/>
    <w:rsid w:val="00681994"/>
    <w:rsid w:val="00681D94"/>
    <w:rsid w:val="00684D49"/>
    <w:rsid w:val="0068565D"/>
    <w:rsid w:val="0068582D"/>
    <w:rsid w:val="00686FC6"/>
    <w:rsid w:val="006909E6"/>
    <w:rsid w:val="00692E0C"/>
    <w:rsid w:val="006934CF"/>
    <w:rsid w:val="006947D8"/>
    <w:rsid w:val="00694896"/>
    <w:rsid w:val="006952B3"/>
    <w:rsid w:val="00696BF0"/>
    <w:rsid w:val="006A03E0"/>
    <w:rsid w:val="006A2B85"/>
    <w:rsid w:val="006A36DA"/>
    <w:rsid w:val="006A5263"/>
    <w:rsid w:val="006A6BBA"/>
    <w:rsid w:val="006A7056"/>
    <w:rsid w:val="006A7299"/>
    <w:rsid w:val="006B02D9"/>
    <w:rsid w:val="006B0597"/>
    <w:rsid w:val="006B227F"/>
    <w:rsid w:val="006B2334"/>
    <w:rsid w:val="006B2D77"/>
    <w:rsid w:val="006B34BF"/>
    <w:rsid w:val="006B393D"/>
    <w:rsid w:val="006B3975"/>
    <w:rsid w:val="006B41D4"/>
    <w:rsid w:val="006B47A8"/>
    <w:rsid w:val="006B4BD6"/>
    <w:rsid w:val="006B608E"/>
    <w:rsid w:val="006B6540"/>
    <w:rsid w:val="006C06FB"/>
    <w:rsid w:val="006C50B1"/>
    <w:rsid w:val="006C5142"/>
    <w:rsid w:val="006C557A"/>
    <w:rsid w:val="006C5EFA"/>
    <w:rsid w:val="006C7FCA"/>
    <w:rsid w:val="006D03A7"/>
    <w:rsid w:val="006D04E2"/>
    <w:rsid w:val="006D06E5"/>
    <w:rsid w:val="006D0F5C"/>
    <w:rsid w:val="006D3DAF"/>
    <w:rsid w:val="006D4588"/>
    <w:rsid w:val="006D5B8C"/>
    <w:rsid w:val="006D5FCA"/>
    <w:rsid w:val="006D65E9"/>
    <w:rsid w:val="006D79F2"/>
    <w:rsid w:val="006E0A0D"/>
    <w:rsid w:val="006E0F53"/>
    <w:rsid w:val="006E20A4"/>
    <w:rsid w:val="006E2244"/>
    <w:rsid w:val="006E4A04"/>
    <w:rsid w:val="006E4C18"/>
    <w:rsid w:val="006F172E"/>
    <w:rsid w:val="006F2420"/>
    <w:rsid w:val="006F2BB8"/>
    <w:rsid w:val="006F3B12"/>
    <w:rsid w:val="006F3C05"/>
    <w:rsid w:val="006F486E"/>
    <w:rsid w:val="006F5452"/>
    <w:rsid w:val="006F701B"/>
    <w:rsid w:val="006F7780"/>
    <w:rsid w:val="00702EEB"/>
    <w:rsid w:val="007045B6"/>
    <w:rsid w:val="00705CFA"/>
    <w:rsid w:val="00706083"/>
    <w:rsid w:val="007061A0"/>
    <w:rsid w:val="00706DA0"/>
    <w:rsid w:val="007072A1"/>
    <w:rsid w:val="00707411"/>
    <w:rsid w:val="00712EFA"/>
    <w:rsid w:val="007135CC"/>
    <w:rsid w:val="00714604"/>
    <w:rsid w:val="00715B95"/>
    <w:rsid w:val="00715D7C"/>
    <w:rsid w:val="00717362"/>
    <w:rsid w:val="0072042F"/>
    <w:rsid w:val="007219E9"/>
    <w:rsid w:val="00723303"/>
    <w:rsid w:val="00723E4C"/>
    <w:rsid w:val="00725159"/>
    <w:rsid w:val="007253DE"/>
    <w:rsid w:val="00727DAA"/>
    <w:rsid w:val="007303B8"/>
    <w:rsid w:val="00730C07"/>
    <w:rsid w:val="00730CDC"/>
    <w:rsid w:val="00731014"/>
    <w:rsid w:val="00734B78"/>
    <w:rsid w:val="00734C73"/>
    <w:rsid w:val="00735A84"/>
    <w:rsid w:val="00737441"/>
    <w:rsid w:val="007376D5"/>
    <w:rsid w:val="00740349"/>
    <w:rsid w:val="00740D6C"/>
    <w:rsid w:val="007414CC"/>
    <w:rsid w:val="007437AC"/>
    <w:rsid w:val="007442D2"/>
    <w:rsid w:val="007475CE"/>
    <w:rsid w:val="00754E71"/>
    <w:rsid w:val="007552E2"/>
    <w:rsid w:val="00756023"/>
    <w:rsid w:val="0075624C"/>
    <w:rsid w:val="00756391"/>
    <w:rsid w:val="00756813"/>
    <w:rsid w:val="007652CE"/>
    <w:rsid w:val="00766537"/>
    <w:rsid w:val="007711B3"/>
    <w:rsid w:val="00772239"/>
    <w:rsid w:val="00772C14"/>
    <w:rsid w:val="00774390"/>
    <w:rsid w:val="0077538A"/>
    <w:rsid w:val="00780651"/>
    <w:rsid w:val="00782A84"/>
    <w:rsid w:val="00782E59"/>
    <w:rsid w:val="00783B4B"/>
    <w:rsid w:val="00783C47"/>
    <w:rsid w:val="00783DFC"/>
    <w:rsid w:val="00784429"/>
    <w:rsid w:val="007852A5"/>
    <w:rsid w:val="0078580E"/>
    <w:rsid w:val="0078704E"/>
    <w:rsid w:val="00787C03"/>
    <w:rsid w:val="00790413"/>
    <w:rsid w:val="00794EB8"/>
    <w:rsid w:val="00795B61"/>
    <w:rsid w:val="00795FDB"/>
    <w:rsid w:val="00796892"/>
    <w:rsid w:val="007971EB"/>
    <w:rsid w:val="007A1821"/>
    <w:rsid w:val="007A3B92"/>
    <w:rsid w:val="007A4550"/>
    <w:rsid w:val="007A534D"/>
    <w:rsid w:val="007A55D6"/>
    <w:rsid w:val="007A73B4"/>
    <w:rsid w:val="007A78F7"/>
    <w:rsid w:val="007B007F"/>
    <w:rsid w:val="007B3860"/>
    <w:rsid w:val="007B4C4F"/>
    <w:rsid w:val="007B5922"/>
    <w:rsid w:val="007B5A79"/>
    <w:rsid w:val="007B63E5"/>
    <w:rsid w:val="007B6F39"/>
    <w:rsid w:val="007C0B3F"/>
    <w:rsid w:val="007C13C1"/>
    <w:rsid w:val="007C1C7F"/>
    <w:rsid w:val="007C3B51"/>
    <w:rsid w:val="007C3EA5"/>
    <w:rsid w:val="007C44C7"/>
    <w:rsid w:val="007C621C"/>
    <w:rsid w:val="007D07A7"/>
    <w:rsid w:val="007D0DC8"/>
    <w:rsid w:val="007D120F"/>
    <w:rsid w:val="007D13CB"/>
    <w:rsid w:val="007D1427"/>
    <w:rsid w:val="007D1AF5"/>
    <w:rsid w:val="007D1EF4"/>
    <w:rsid w:val="007D24EE"/>
    <w:rsid w:val="007D556B"/>
    <w:rsid w:val="007D62C5"/>
    <w:rsid w:val="007D7044"/>
    <w:rsid w:val="007D7C6D"/>
    <w:rsid w:val="007D7E70"/>
    <w:rsid w:val="007E07B3"/>
    <w:rsid w:val="007E08BE"/>
    <w:rsid w:val="007E1B26"/>
    <w:rsid w:val="007E2DDD"/>
    <w:rsid w:val="007E421D"/>
    <w:rsid w:val="007E479E"/>
    <w:rsid w:val="007E60E0"/>
    <w:rsid w:val="007E7B1D"/>
    <w:rsid w:val="007F0FAD"/>
    <w:rsid w:val="007F1F9F"/>
    <w:rsid w:val="007F2FE4"/>
    <w:rsid w:val="007F4490"/>
    <w:rsid w:val="007F47D3"/>
    <w:rsid w:val="007F5715"/>
    <w:rsid w:val="0080029C"/>
    <w:rsid w:val="00800804"/>
    <w:rsid w:val="00800CCC"/>
    <w:rsid w:val="00802387"/>
    <w:rsid w:val="0080297B"/>
    <w:rsid w:val="00803EC4"/>
    <w:rsid w:val="00804EF1"/>
    <w:rsid w:val="00805776"/>
    <w:rsid w:val="00806BD7"/>
    <w:rsid w:val="008079A2"/>
    <w:rsid w:val="00812AAA"/>
    <w:rsid w:val="0081462D"/>
    <w:rsid w:val="00814A98"/>
    <w:rsid w:val="00814C32"/>
    <w:rsid w:val="00814CAD"/>
    <w:rsid w:val="00814EDA"/>
    <w:rsid w:val="00815D18"/>
    <w:rsid w:val="008173A6"/>
    <w:rsid w:val="0081740F"/>
    <w:rsid w:val="00817499"/>
    <w:rsid w:val="0082006D"/>
    <w:rsid w:val="00820181"/>
    <w:rsid w:val="008216AE"/>
    <w:rsid w:val="00824E84"/>
    <w:rsid w:val="00825679"/>
    <w:rsid w:val="00830414"/>
    <w:rsid w:val="008305F0"/>
    <w:rsid w:val="00832C71"/>
    <w:rsid w:val="00832F9F"/>
    <w:rsid w:val="008331B3"/>
    <w:rsid w:val="00835772"/>
    <w:rsid w:val="00835E5E"/>
    <w:rsid w:val="00840FF3"/>
    <w:rsid w:val="00843514"/>
    <w:rsid w:val="00844137"/>
    <w:rsid w:val="00844B30"/>
    <w:rsid w:val="008456D3"/>
    <w:rsid w:val="00846D24"/>
    <w:rsid w:val="00847116"/>
    <w:rsid w:val="00847D36"/>
    <w:rsid w:val="00851170"/>
    <w:rsid w:val="00851DE1"/>
    <w:rsid w:val="00852C49"/>
    <w:rsid w:val="00854D0F"/>
    <w:rsid w:val="008550E1"/>
    <w:rsid w:val="008575C5"/>
    <w:rsid w:val="00857E05"/>
    <w:rsid w:val="008604AD"/>
    <w:rsid w:val="00860C38"/>
    <w:rsid w:val="00862582"/>
    <w:rsid w:val="0086337D"/>
    <w:rsid w:val="008639B3"/>
    <w:rsid w:val="00863C92"/>
    <w:rsid w:val="008644B9"/>
    <w:rsid w:val="0086458F"/>
    <w:rsid w:val="00864D14"/>
    <w:rsid w:val="00865BA2"/>
    <w:rsid w:val="00865ED8"/>
    <w:rsid w:val="008711D9"/>
    <w:rsid w:val="008712D1"/>
    <w:rsid w:val="00871419"/>
    <w:rsid w:val="0087270C"/>
    <w:rsid w:val="0087373A"/>
    <w:rsid w:val="00873EF8"/>
    <w:rsid w:val="008743AE"/>
    <w:rsid w:val="00874515"/>
    <w:rsid w:val="00874723"/>
    <w:rsid w:val="00874EBA"/>
    <w:rsid w:val="0087594A"/>
    <w:rsid w:val="00877554"/>
    <w:rsid w:val="00880054"/>
    <w:rsid w:val="008814BC"/>
    <w:rsid w:val="00881634"/>
    <w:rsid w:val="00881C4E"/>
    <w:rsid w:val="00886118"/>
    <w:rsid w:val="008876A4"/>
    <w:rsid w:val="00890CA1"/>
    <w:rsid w:val="0089276D"/>
    <w:rsid w:val="00893776"/>
    <w:rsid w:val="008949C5"/>
    <w:rsid w:val="00894CA3"/>
    <w:rsid w:val="00896D1B"/>
    <w:rsid w:val="00896D4C"/>
    <w:rsid w:val="00897098"/>
    <w:rsid w:val="008A0B9B"/>
    <w:rsid w:val="008A19DB"/>
    <w:rsid w:val="008A2903"/>
    <w:rsid w:val="008A3612"/>
    <w:rsid w:val="008A4C19"/>
    <w:rsid w:val="008A6991"/>
    <w:rsid w:val="008B0809"/>
    <w:rsid w:val="008B108F"/>
    <w:rsid w:val="008B2216"/>
    <w:rsid w:val="008B2499"/>
    <w:rsid w:val="008B2FF6"/>
    <w:rsid w:val="008B436C"/>
    <w:rsid w:val="008B6F92"/>
    <w:rsid w:val="008B7588"/>
    <w:rsid w:val="008C05C7"/>
    <w:rsid w:val="008C0B1C"/>
    <w:rsid w:val="008C0C77"/>
    <w:rsid w:val="008C0ECF"/>
    <w:rsid w:val="008C10CD"/>
    <w:rsid w:val="008C1B28"/>
    <w:rsid w:val="008C2F0B"/>
    <w:rsid w:val="008C3B30"/>
    <w:rsid w:val="008C4557"/>
    <w:rsid w:val="008C61E1"/>
    <w:rsid w:val="008C7FFC"/>
    <w:rsid w:val="008D008B"/>
    <w:rsid w:val="008D0C96"/>
    <w:rsid w:val="008D111B"/>
    <w:rsid w:val="008D146B"/>
    <w:rsid w:val="008D1F31"/>
    <w:rsid w:val="008D2355"/>
    <w:rsid w:val="008D4F60"/>
    <w:rsid w:val="008D5A62"/>
    <w:rsid w:val="008D5A6A"/>
    <w:rsid w:val="008D6953"/>
    <w:rsid w:val="008D734C"/>
    <w:rsid w:val="008E0B12"/>
    <w:rsid w:val="008E30CC"/>
    <w:rsid w:val="008E31A1"/>
    <w:rsid w:val="008E3546"/>
    <w:rsid w:val="008E375F"/>
    <w:rsid w:val="008E39D0"/>
    <w:rsid w:val="008E40BA"/>
    <w:rsid w:val="008E4282"/>
    <w:rsid w:val="008E4701"/>
    <w:rsid w:val="008F0E91"/>
    <w:rsid w:val="008F15C7"/>
    <w:rsid w:val="008F2A58"/>
    <w:rsid w:val="008F3324"/>
    <w:rsid w:val="008F3BA4"/>
    <w:rsid w:val="008F4314"/>
    <w:rsid w:val="008F4D7C"/>
    <w:rsid w:val="008F57B5"/>
    <w:rsid w:val="008F5D20"/>
    <w:rsid w:val="008F6718"/>
    <w:rsid w:val="008F67F4"/>
    <w:rsid w:val="008F7ADF"/>
    <w:rsid w:val="009003A9"/>
    <w:rsid w:val="009020F7"/>
    <w:rsid w:val="00903768"/>
    <w:rsid w:val="00903F08"/>
    <w:rsid w:val="009065FE"/>
    <w:rsid w:val="00906DC0"/>
    <w:rsid w:val="0091073B"/>
    <w:rsid w:val="00911E33"/>
    <w:rsid w:val="00913594"/>
    <w:rsid w:val="009140FA"/>
    <w:rsid w:val="009147F8"/>
    <w:rsid w:val="00916A6C"/>
    <w:rsid w:val="00917141"/>
    <w:rsid w:val="00920D6E"/>
    <w:rsid w:val="00921687"/>
    <w:rsid w:val="00921B0D"/>
    <w:rsid w:val="0092293A"/>
    <w:rsid w:val="0092301E"/>
    <w:rsid w:val="009242AD"/>
    <w:rsid w:val="0092546E"/>
    <w:rsid w:val="009257A8"/>
    <w:rsid w:val="0092596C"/>
    <w:rsid w:val="00930208"/>
    <w:rsid w:val="00930AA7"/>
    <w:rsid w:val="00931E39"/>
    <w:rsid w:val="0093230F"/>
    <w:rsid w:val="009326AD"/>
    <w:rsid w:val="00932A29"/>
    <w:rsid w:val="009371DA"/>
    <w:rsid w:val="009416B0"/>
    <w:rsid w:val="00941BFB"/>
    <w:rsid w:val="00941F66"/>
    <w:rsid w:val="009424A5"/>
    <w:rsid w:val="0094330F"/>
    <w:rsid w:val="00943499"/>
    <w:rsid w:val="00943880"/>
    <w:rsid w:val="009446F4"/>
    <w:rsid w:val="00944DD5"/>
    <w:rsid w:val="00945F40"/>
    <w:rsid w:val="00946BF6"/>
    <w:rsid w:val="009475CC"/>
    <w:rsid w:val="009479CA"/>
    <w:rsid w:val="00952ED0"/>
    <w:rsid w:val="0095320E"/>
    <w:rsid w:val="009536DC"/>
    <w:rsid w:val="00953EEB"/>
    <w:rsid w:val="00955F19"/>
    <w:rsid w:val="00956A8E"/>
    <w:rsid w:val="009571AB"/>
    <w:rsid w:val="00957627"/>
    <w:rsid w:val="00963B71"/>
    <w:rsid w:val="00963D0D"/>
    <w:rsid w:val="00964AB5"/>
    <w:rsid w:val="0096714F"/>
    <w:rsid w:val="00970B97"/>
    <w:rsid w:val="0097415D"/>
    <w:rsid w:val="00974287"/>
    <w:rsid w:val="0097473F"/>
    <w:rsid w:val="009759C5"/>
    <w:rsid w:val="009762A2"/>
    <w:rsid w:val="00977517"/>
    <w:rsid w:val="009779DE"/>
    <w:rsid w:val="009814E0"/>
    <w:rsid w:val="00981B59"/>
    <w:rsid w:val="00982B0D"/>
    <w:rsid w:val="00983656"/>
    <w:rsid w:val="00986C17"/>
    <w:rsid w:val="0099106F"/>
    <w:rsid w:val="00992336"/>
    <w:rsid w:val="009934AD"/>
    <w:rsid w:val="00993916"/>
    <w:rsid w:val="00995FB8"/>
    <w:rsid w:val="009A089F"/>
    <w:rsid w:val="009A1A8A"/>
    <w:rsid w:val="009A1C23"/>
    <w:rsid w:val="009A47D7"/>
    <w:rsid w:val="009A4B80"/>
    <w:rsid w:val="009A4CCD"/>
    <w:rsid w:val="009A4F5E"/>
    <w:rsid w:val="009A68AE"/>
    <w:rsid w:val="009A6A6E"/>
    <w:rsid w:val="009B735E"/>
    <w:rsid w:val="009B7592"/>
    <w:rsid w:val="009C178E"/>
    <w:rsid w:val="009C1B6F"/>
    <w:rsid w:val="009C22A1"/>
    <w:rsid w:val="009C3BB2"/>
    <w:rsid w:val="009C3BE7"/>
    <w:rsid w:val="009C4803"/>
    <w:rsid w:val="009C51D6"/>
    <w:rsid w:val="009C5A7E"/>
    <w:rsid w:val="009C618C"/>
    <w:rsid w:val="009C6382"/>
    <w:rsid w:val="009D08FC"/>
    <w:rsid w:val="009D0C62"/>
    <w:rsid w:val="009D0DE1"/>
    <w:rsid w:val="009D1165"/>
    <w:rsid w:val="009D1355"/>
    <w:rsid w:val="009D1837"/>
    <w:rsid w:val="009D350E"/>
    <w:rsid w:val="009D3B7C"/>
    <w:rsid w:val="009D6A96"/>
    <w:rsid w:val="009D7954"/>
    <w:rsid w:val="009E10B7"/>
    <w:rsid w:val="009E19A5"/>
    <w:rsid w:val="009E32BD"/>
    <w:rsid w:val="009E574B"/>
    <w:rsid w:val="009E58B0"/>
    <w:rsid w:val="009E6675"/>
    <w:rsid w:val="009E702F"/>
    <w:rsid w:val="009F089D"/>
    <w:rsid w:val="009F0943"/>
    <w:rsid w:val="009F24A1"/>
    <w:rsid w:val="009F2E4C"/>
    <w:rsid w:val="009F3391"/>
    <w:rsid w:val="009F385B"/>
    <w:rsid w:val="009F4AFF"/>
    <w:rsid w:val="009F7DD8"/>
    <w:rsid w:val="00A003EF"/>
    <w:rsid w:val="00A01E44"/>
    <w:rsid w:val="00A01F25"/>
    <w:rsid w:val="00A05E83"/>
    <w:rsid w:val="00A07D62"/>
    <w:rsid w:val="00A11FED"/>
    <w:rsid w:val="00A1386D"/>
    <w:rsid w:val="00A13E24"/>
    <w:rsid w:val="00A14065"/>
    <w:rsid w:val="00A15439"/>
    <w:rsid w:val="00A1728C"/>
    <w:rsid w:val="00A17C29"/>
    <w:rsid w:val="00A17E8F"/>
    <w:rsid w:val="00A202A3"/>
    <w:rsid w:val="00A20FA5"/>
    <w:rsid w:val="00A217C3"/>
    <w:rsid w:val="00A21FAE"/>
    <w:rsid w:val="00A2410D"/>
    <w:rsid w:val="00A2414E"/>
    <w:rsid w:val="00A25160"/>
    <w:rsid w:val="00A2534E"/>
    <w:rsid w:val="00A25449"/>
    <w:rsid w:val="00A25580"/>
    <w:rsid w:val="00A26AD4"/>
    <w:rsid w:val="00A2706B"/>
    <w:rsid w:val="00A2715F"/>
    <w:rsid w:val="00A27BAC"/>
    <w:rsid w:val="00A32799"/>
    <w:rsid w:val="00A32972"/>
    <w:rsid w:val="00A33F86"/>
    <w:rsid w:val="00A35CA6"/>
    <w:rsid w:val="00A35DEF"/>
    <w:rsid w:val="00A3793A"/>
    <w:rsid w:val="00A37A7A"/>
    <w:rsid w:val="00A37D89"/>
    <w:rsid w:val="00A401A9"/>
    <w:rsid w:val="00A406D5"/>
    <w:rsid w:val="00A40735"/>
    <w:rsid w:val="00A420CB"/>
    <w:rsid w:val="00A42677"/>
    <w:rsid w:val="00A45B9C"/>
    <w:rsid w:val="00A464B8"/>
    <w:rsid w:val="00A50D8F"/>
    <w:rsid w:val="00A528C0"/>
    <w:rsid w:val="00A52AFA"/>
    <w:rsid w:val="00A52CC1"/>
    <w:rsid w:val="00A53A23"/>
    <w:rsid w:val="00A5619F"/>
    <w:rsid w:val="00A5792C"/>
    <w:rsid w:val="00A6023D"/>
    <w:rsid w:val="00A62267"/>
    <w:rsid w:val="00A63D4E"/>
    <w:rsid w:val="00A67B9E"/>
    <w:rsid w:val="00A70627"/>
    <w:rsid w:val="00A721CC"/>
    <w:rsid w:val="00A72CCD"/>
    <w:rsid w:val="00A72D73"/>
    <w:rsid w:val="00A75B36"/>
    <w:rsid w:val="00A760F8"/>
    <w:rsid w:val="00A765DD"/>
    <w:rsid w:val="00A771DA"/>
    <w:rsid w:val="00A818C3"/>
    <w:rsid w:val="00A842CF"/>
    <w:rsid w:val="00A867DD"/>
    <w:rsid w:val="00A86D52"/>
    <w:rsid w:val="00A87504"/>
    <w:rsid w:val="00A905DC"/>
    <w:rsid w:val="00A90E61"/>
    <w:rsid w:val="00A92CDF"/>
    <w:rsid w:val="00A92D5C"/>
    <w:rsid w:val="00A9321B"/>
    <w:rsid w:val="00A93D49"/>
    <w:rsid w:val="00A94302"/>
    <w:rsid w:val="00A94799"/>
    <w:rsid w:val="00A96213"/>
    <w:rsid w:val="00A97222"/>
    <w:rsid w:val="00AA0A09"/>
    <w:rsid w:val="00AA1DBD"/>
    <w:rsid w:val="00AA5272"/>
    <w:rsid w:val="00AA6017"/>
    <w:rsid w:val="00AA6AC2"/>
    <w:rsid w:val="00AA6C53"/>
    <w:rsid w:val="00AA70DA"/>
    <w:rsid w:val="00AA7474"/>
    <w:rsid w:val="00AA7C78"/>
    <w:rsid w:val="00AA7ECB"/>
    <w:rsid w:val="00AB02F2"/>
    <w:rsid w:val="00AB083F"/>
    <w:rsid w:val="00AB0BE6"/>
    <w:rsid w:val="00AB1DE2"/>
    <w:rsid w:val="00AB2796"/>
    <w:rsid w:val="00AB2F86"/>
    <w:rsid w:val="00AB410B"/>
    <w:rsid w:val="00AB4BCC"/>
    <w:rsid w:val="00AB4CC8"/>
    <w:rsid w:val="00AB528C"/>
    <w:rsid w:val="00AB58B0"/>
    <w:rsid w:val="00AB7A8F"/>
    <w:rsid w:val="00AC034E"/>
    <w:rsid w:val="00AC0884"/>
    <w:rsid w:val="00AC27E3"/>
    <w:rsid w:val="00AC351B"/>
    <w:rsid w:val="00AC35C4"/>
    <w:rsid w:val="00AC390F"/>
    <w:rsid w:val="00AC5A3B"/>
    <w:rsid w:val="00AC67F9"/>
    <w:rsid w:val="00AD1635"/>
    <w:rsid w:val="00AD1986"/>
    <w:rsid w:val="00AD33CC"/>
    <w:rsid w:val="00AD3DD4"/>
    <w:rsid w:val="00AD573E"/>
    <w:rsid w:val="00AD58F7"/>
    <w:rsid w:val="00AD591B"/>
    <w:rsid w:val="00AD5ACA"/>
    <w:rsid w:val="00AE0E48"/>
    <w:rsid w:val="00AE1D1D"/>
    <w:rsid w:val="00AE2CAD"/>
    <w:rsid w:val="00AE30EB"/>
    <w:rsid w:val="00AE5448"/>
    <w:rsid w:val="00AE5676"/>
    <w:rsid w:val="00AE5702"/>
    <w:rsid w:val="00AE6A96"/>
    <w:rsid w:val="00AE6ACD"/>
    <w:rsid w:val="00AF5B29"/>
    <w:rsid w:val="00AF64DB"/>
    <w:rsid w:val="00AF6F37"/>
    <w:rsid w:val="00AF6FF5"/>
    <w:rsid w:val="00B01143"/>
    <w:rsid w:val="00B02CE9"/>
    <w:rsid w:val="00B03139"/>
    <w:rsid w:val="00B03E91"/>
    <w:rsid w:val="00B055D1"/>
    <w:rsid w:val="00B055F6"/>
    <w:rsid w:val="00B05DEE"/>
    <w:rsid w:val="00B10075"/>
    <w:rsid w:val="00B10140"/>
    <w:rsid w:val="00B10542"/>
    <w:rsid w:val="00B11F12"/>
    <w:rsid w:val="00B1460A"/>
    <w:rsid w:val="00B14817"/>
    <w:rsid w:val="00B15D59"/>
    <w:rsid w:val="00B15F7D"/>
    <w:rsid w:val="00B176E5"/>
    <w:rsid w:val="00B204A9"/>
    <w:rsid w:val="00B20D16"/>
    <w:rsid w:val="00B21AED"/>
    <w:rsid w:val="00B21E5E"/>
    <w:rsid w:val="00B22208"/>
    <w:rsid w:val="00B2695E"/>
    <w:rsid w:val="00B30952"/>
    <w:rsid w:val="00B30E0B"/>
    <w:rsid w:val="00B32C34"/>
    <w:rsid w:val="00B330A8"/>
    <w:rsid w:val="00B3408E"/>
    <w:rsid w:val="00B34454"/>
    <w:rsid w:val="00B34E6B"/>
    <w:rsid w:val="00B40BEC"/>
    <w:rsid w:val="00B42A72"/>
    <w:rsid w:val="00B42B45"/>
    <w:rsid w:val="00B4346E"/>
    <w:rsid w:val="00B437A3"/>
    <w:rsid w:val="00B43884"/>
    <w:rsid w:val="00B44CBE"/>
    <w:rsid w:val="00B500F5"/>
    <w:rsid w:val="00B51563"/>
    <w:rsid w:val="00B5285C"/>
    <w:rsid w:val="00B53610"/>
    <w:rsid w:val="00B5511E"/>
    <w:rsid w:val="00B553C7"/>
    <w:rsid w:val="00B55673"/>
    <w:rsid w:val="00B565E1"/>
    <w:rsid w:val="00B56890"/>
    <w:rsid w:val="00B57D3B"/>
    <w:rsid w:val="00B60160"/>
    <w:rsid w:val="00B6272A"/>
    <w:rsid w:val="00B64916"/>
    <w:rsid w:val="00B658B5"/>
    <w:rsid w:val="00B658FC"/>
    <w:rsid w:val="00B66655"/>
    <w:rsid w:val="00B672B7"/>
    <w:rsid w:val="00B701D5"/>
    <w:rsid w:val="00B70636"/>
    <w:rsid w:val="00B72AC1"/>
    <w:rsid w:val="00B73839"/>
    <w:rsid w:val="00B74537"/>
    <w:rsid w:val="00B74A2C"/>
    <w:rsid w:val="00B75210"/>
    <w:rsid w:val="00B753F0"/>
    <w:rsid w:val="00B76F47"/>
    <w:rsid w:val="00B8053F"/>
    <w:rsid w:val="00B807B6"/>
    <w:rsid w:val="00B8401C"/>
    <w:rsid w:val="00B8459A"/>
    <w:rsid w:val="00B84C41"/>
    <w:rsid w:val="00B863E1"/>
    <w:rsid w:val="00B86458"/>
    <w:rsid w:val="00B91F46"/>
    <w:rsid w:val="00B9767F"/>
    <w:rsid w:val="00BA0261"/>
    <w:rsid w:val="00BA0992"/>
    <w:rsid w:val="00BA3A86"/>
    <w:rsid w:val="00BA4C9D"/>
    <w:rsid w:val="00BA59BE"/>
    <w:rsid w:val="00BA6928"/>
    <w:rsid w:val="00BA6B71"/>
    <w:rsid w:val="00BA6C38"/>
    <w:rsid w:val="00BB003E"/>
    <w:rsid w:val="00BB056F"/>
    <w:rsid w:val="00BB0904"/>
    <w:rsid w:val="00BB0D19"/>
    <w:rsid w:val="00BB16E4"/>
    <w:rsid w:val="00BB175D"/>
    <w:rsid w:val="00BB3B11"/>
    <w:rsid w:val="00BB3C25"/>
    <w:rsid w:val="00BB3F1C"/>
    <w:rsid w:val="00BB4F9A"/>
    <w:rsid w:val="00BB5ED4"/>
    <w:rsid w:val="00BB6658"/>
    <w:rsid w:val="00BB72A9"/>
    <w:rsid w:val="00BC1047"/>
    <w:rsid w:val="00BC2F92"/>
    <w:rsid w:val="00BC5602"/>
    <w:rsid w:val="00BC6D46"/>
    <w:rsid w:val="00BD053C"/>
    <w:rsid w:val="00BD0C29"/>
    <w:rsid w:val="00BD1D36"/>
    <w:rsid w:val="00BD3688"/>
    <w:rsid w:val="00BD4DF0"/>
    <w:rsid w:val="00BD50B8"/>
    <w:rsid w:val="00BD6E9D"/>
    <w:rsid w:val="00BD7F98"/>
    <w:rsid w:val="00BE01D8"/>
    <w:rsid w:val="00BE0CA0"/>
    <w:rsid w:val="00BE2689"/>
    <w:rsid w:val="00BE31D7"/>
    <w:rsid w:val="00BE35AA"/>
    <w:rsid w:val="00BE5925"/>
    <w:rsid w:val="00BE630F"/>
    <w:rsid w:val="00BE7379"/>
    <w:rsid w:val="00BF119D"/>
    <w:rsid w:val="00BF2049"/>
    <w:rsid w:val="00BF4CC9"/>
    <w:rsid w:val="00BF5373"/>
    <w:rsid w:val="00BF5C4F"/>
    <w:rsid w:val="00BF7219"/>
    <w:rsid w:val="00C0003F"/>
    <w:rsid w:val="00C00A7A"/>
    <w:rsid w:val="00C00E37"/>
    <w:rsid w:val="00C0129C"/>
    <w:rsid w:val="00C019B2"/>
    <w:rsid w:val="00C01FF2"/>
    <w:rsid w:val="00C025FB"/>
    <w:rsid w:val="00C03C60"/>
    <w:rsid w:val="00C044CF"/>
    <w:rsid w:val="00C046C2"/>
    <w:rsid w:val="00C050B4"/>
    <w:rsid w:val="00C05328"/>
    <w:rsid w:val="00C073E3"/>
    <w:rsid w:val="00C079B5"/>
    <w:rsid w:val="00C11510"/>
    <w:rsid w:val="00C12163"/>
    <w:rsid w:val="00C130DB"/>
    <w:rsid w:val="00C145B4"/>
    <w:rsid w:val="00C14C4C"/>
    <w:rsid w:val="00C155DC"/>
    <w:rsid w:val="00C17570"/>
    <w:rsid w:val="00C175CA"/>
    <w:rsid w:val="00C2050B"/>
    <w:rsid w:val="00C22F50"/>
    <w:rsid w:val="00C24446"/>
    <w:rsid w:val="00C249CF"/>
    <w:rsid w:val="00C259D5"/>
    <w:rsid w:val="00C25A5D"/>
    <w:rsid w:val="00C261EE"/>
    <w:rsid w:val="00C27942"/>
    <w:rsid w:val="00C27D11"/>
    <w:rsid w:val="00C31413"/>
    <w:rsid w:val="00C3217D"/>
    <w:rsid w:val="00C339CA"/>
    <w:rsid w:val="00C340BC"/>
    <w:rsid w:val="00C357DD"/>
    <w:rsid w:val="00C35898"/>
    <w:rsid w:val="00C36330"/>
    <w:rsid w:val="00C37D09"/>
    <w:rsid w:val="00C41C60"/>
    <w:rsid w:val="00C41D28"/>
    <w:rsid w:val="00C42455"/>
    <w:rsid w:val="00C42D82"/>
    <w:rsid w:val="00C42E13"/>
    <w:rsid w:val="00C446AD"/>
    <w:rsid w:val="00C4598B"/>
    <w:rsid w:val="00C45A16"/>
    <w:rsid w:val="00C46556"/>
    <w:rsid w:val="00C476E2"/>
    <w:rsid w:val="00C47977"/>
    <w:rsid w:val="00C47D02"/>
    <w:rsid w:val="00C518C1"/>
    <w:rsid w:val="00C53B70"/>
    <w:rsid w:val="00C54F5C"/>
    <w:rsid w:val="00C56F97"/>
    <w:rsid w:val="00C57252"/>
    <w:rsid w:val="00C618D4"/>
    <w:rsid w:val="00C64B39"/>
    <w:rsid w:val="00C655D4"/>
    <w:rsid w:val="00C65D2C"/>
    <w:rsid w:val="00C70B64"/>
    <w:rsid w:val="00C71996"/>
    <w:rsid w:val="00C71B1A"/>
    <w:rsid w:val="00C72226"/>
    <w:rsid w:val="00C72968"/>
    <w:rsid w:val="00C73D7F"/>
    <w:rsid w:val="00C7568B"/>
    <w:rsid w:val="00C7570C"/>
    <w:rsid w:val="00C7580D"/>
    <w:rsid w:val="00C77815"/>
    <w:rsid w:val="00C8017F"/>
    <w:rsid w:val="00C81DD1"/>
    <w:rsid w:val="00C81E9E"/>
    <w:rsid w:val="00C82788"/>
    <w:rsid w:val="00C840B5"/>
    <w:rsid w:val="00C84F8F"/>
    <w:rsid w:val="00C84FBF"/>
    <w:rsid w:val="00C85CEC"/>
    <w:rsid w:val="00C909A4"/>
    <w:rsid w:val="00C91F46"/>
    <w:rsid w:val="00C934FF"/>
    <w:rsid w:val="00C93F34"/>
    <w:rsid w:val="00C94FD1"/>
    <w:rsid w:val="00C9566C"/>
    <w:rsid w:val="00C96840"/>
    <w:rsid w:val="00CA0094"/>
    <w:rsid w:val="00CA0B5C"/>
    <w:rsid w:val="00CA1E5E"/>
    <w:rsid w:val="00CA20EF"/>
    <w:rsid w:val="00CA5931"/>
    <w:rsid w:val="00CA7895"/>
    <w:rsid w:val="00CA7B51"/>
    <w:rsid w:val="00CB0477"/>
    <w:rsid w:val="00CB0721"/>
    <w:rsid w:val="00CB1279"/>
    <w:rsid w:val="00CB1934"/>
    <w:rsid w:val="00CB209E"/>
    <w:rsid w:val="00CB3C29"/>
    <w:rsid w:val="00CB64D3"/>
    <w:rsid w:val="00CC05AC"/>
    <w:rsid w:val="00CC096B"/>
    <w:rsid w:val="00CC25DA"/>
    <w:rsid w:val="00CC4176"/>
    <w:rsid w:val="00CC5B77"/>
    <w:rsid w:val="00CC6768"/>
    <w:rsid w:val="00CC7CD5"/>
    <w:rsid w:val="00CD00AB"/>
    <w:rsid w:val="00CD20DC"/>
    <w:rsid w:val="00CD4577"/>
    <w:rsid w:val="00CD539A"/>
    <w:rsid w:val="00CD65BC"/>
    <w:rsid w:val="00CD735A"/>
    <w:rsid w:val="00CD7955"/>
    <w:rsid w:val="00CE142E"/>
    <w:rsid w:val="00CE15AE"/>
    <w:rsid w:val="00CE31C3"/>
    <w:rsid w:val="00CE332D"/>
    <w:rsid w:val="00CE3DAC"/>
    <w:rsid w:val="00CE3F1D"/>
    <w:rsid w:val="00CE4080"/>
    <w:rsid w:val="00CE43E8"/>
    <w:rsid w:val="00CE60CC"/>
    <w:rsid w:val="00CE7417"/>
    <w:rsid w:val="00CE755B"/>
    <w:rsid w:val="00CE7E12"/>
    <w:rsid w:val="00CE7F2D"/>
    <w:rsid w:val="00CF09F0"/>
    <w:rsid w:val="00CF1504"/>
    <w:rsid w:val="00CF4E34"/>
    <w:rsid w:val="00CF50A6"/>
    <w:rsid w:val="00CF50B0"/>
    <w:rsid w:val="00CF6250"/>
    <w:rsid w:val="00CF6FBD"/>
    <w:rsid w:val="00CF74C3"/>
    <w:rsid w:val="00CF7A6C"/>
    <w:rsid w:val="00D00363"/>
    <w:rsid w:val="00D0052E"/>
    <w:rsid w:val="00D017C1"/>
    <w:rsid w:val="00D0184A"/>
    <w:rsid w:val="00D01CED"/>
    <w:rsid w:val="00D041FD"/>
    <w:rsid w:val="00D11F0D"/>
    <w:rsid w:val="00D1248F"/>
    <w:rsid w:val="00D14E47"/>
    <w:rsid w:val="00D1605C"/>
    <w:rsid w:val="00D16086"/>
    <w:rsid w:val="00D164B8"/>
    <w:rsid w:val="00D16FA0"/>
    <w:rsid w:val="00D21047"/>
    <w:rsid w:val="00D23128"/>
    <w:rsid w:val="00D240DE"/>
    <w:rsid w:val="00D24C7E"/>
    <w:rsid w:val="00D25DEC"/>
    <w:rsid w:val="00D25F99"/>
    <w:rsid w:val="00D26A8D"/>
    <w:rsid w:val="00D318A1"/>
    <w:rsid w:val="00D329DD"/>
    <w:rsid w:val="00D359B6"/>
    <w:rsid w:val="00D35B27"/>
    <w:rsid w:val="00D35E7C"/>
    <w:rsid w:val="00D36CFB"/>
    <w:rsid w:val="00D401CB"/>
    <w:rsid w:val="00D4044E"/>
    <w:rsid w:val="00D4172E"/>
    <w:rsid w:val="00D41ECA"/>
    <w:rsid w:val="00D42805"/>
    <w:rsid w:val="00D4324C"/>
    <w:rsid w:val="00D44421"/>
    <w:rsid w:val="00D459D0"/>
    <w:rsid w:val="00D45BA7"/>
    <w:rsid w:val="00D47C3E"/>
    <w:rsid w:val="00D50D38"/>
    <w:rsid w:val="00D50E2B"/>
    <w:rsid w:val="00D5120F"/>
    <w:rsid w:val="00D52169"/>
    <w:rsid w:val="00D524E2"/>
    <w:rsid w:val="00D534EA"/>
    <w:rsid w:val="00D54E22"/>
    <w:rsid w:val="00D5607A"/>
    <w:rsid w:val="00D56B7D"/>
    <w:rsid w:val="00D6041D"/>
    <w:rsid w:val="00D6139C"/>
    <w:rsid w:val="00D62D4A"/>
    <w:rsid w:val="00D63C4A"/>
    <w:rsid w:val="00D649EE"/>
    <w:rsid w:val="00D65087"/>
    <w:rsid w:val="00D66638"/>
    <w:rsid w:val="00D66814"/>
    <w:rsid w:val="00D674B7"/>
    <w:rsid w:val="00D6774E"/>
    <w:rsid w:val="00D70790"/>
    <w:rsid w:val="00D70978"/>
    <w:rsid w:val="00D728F9"/>
    <w:rsid w:val="00D76AD6"/>
    <w:rsid w:val="00D77356"/>
    <w:rsid w:val="00D77847"/>
    <w:rsid w:val="00D80444"/>
    <w:rsid w:val="00D806B4"/>
    <w:rsid w:val="00D8254E"/>
    <w:rsid w:val="00D83096"/>
    <w:rsid w:val="00D83503"/>
    <w:rsid w:val="00D8355E"/>
    <w:rsid w:val="00D8624A"/>
    <w:rsid w:val="00D86CC1"/>
    <w:rsid w:val="00D86FEA"/>
    <w:rsid w:val="00D9087A"/>
    <w:rsid w:val="00D90A16"/>
    <w:rsid w:val="00D90C40"/>
    <w:rsid w:val="00D90FCD"/>
    <w:rsid w:val="00D9161D"/>
    <w:rsid w:val="00D933AD"/>
    <w:rsid w:val="00DA0451"/>
    <w:rsid w:val="00DA0DAD"/>
    <w:rsid w:val="00DA1800"/>
    <w:rsid w:val="00DA2EDA"/>
    <w:rsid w:val="00DA3A02"/>
    <w:rsid w:val="00DA4102"/>
    <w:rsid w:val="00DA42BF"/>
    <w:rsid w:val="00DA60D5"/>
    <w:rsid w:val="00DB286C"/>
    <w:rsid w:val="00DB2F6F"/>
    <w:rsid w:val="00DB31A3"/>
    <w:rsid w:val="00DB4434"/>
    <w:rsid w:val="00DB64D9"/>
    <w:rsid w:val="00DC1221"/>
    <w:rsid w:val="00DC1272"/>
    <w:rsid w:val="00DC241B"/>
    <w:rsid w:val="00DC2B71"/>
    <w:rsid w:val="00DC3385"/>
    <w:rsid w:val="00DC58F4"/>
    <w:rsid w:val="00DC7F6D"/>
    <w:rsid w:val="00DD1713"/>
    <w:rsid w:val="00DD2D72"/>
    <w:rsid w:val="00DD3356"/>
    <w:rsid w:val="00DD390B"/>
    <w:rsid w:val="00DD5D6B"/>
    <w:rsid w:val="00DD7C32"/>
    <w:rsid w:val="00DE0A49"/>
    <w:rsid w:val="00DE0F77"/>
    <w:rsid w:val="00DE4DE7"/>
    <w:rsid w:val="00DE54E9"/>
    <w:rsid w:val="00DE5E37"/>
    <w:rsid w:val="00DE6C02"/>
    <w:rsid w:val="00DE75AF"/>
    <w:rsid w:val="00DF2F7B"/>
    <w:rsid w:val="00DF3198"/>
    <w:rsid w:val="00DF3BD8"/>
    <w:rsid w:val="00DF54AE"/>
    <w:rsid w:val="00DF6276"/>
    <w:rsid w:val="00E001DB"/>
    <w:rsid w:val="00E0072D"/>
    <w:rsid w:val="00E01D36"/>
    <w:rsid w:val="00E025C2"/>
    <w:rsid w:val="00E02C94"/>
    <w:rsid w:val="00E04AD5"/>
    <w:rsid w:val="00E05AE9"/>
    <w:rsid w:val="00E071D6"/>
    <w:rsid w:val="00E07CAB"/>
    <w:rsid w:val="00E100E3"/>
    <w:rsid w:val="00E100FF"/>
    <w:rsid w:val="00E102B0"/>
    <w:rsid w:val="00E10710"/>
    <w:rsid w:val="00E10A3D"/>
    <w:rsid w:val="00E111D6"/>
    <w:rsid w:val="00E11A4D"/>
    <w:rsid w:val="00E11F31"/>
    <w:rsid w:val="00E1533C"/>
    <w:rsid w:val="00E153FE"/>
    <w:rsid w:val="00E15844"/>
    <w:rsid w:val="00E16219"/>
    <w:rsid w:val="00E16293"/>
    <w:rsid w:val="00E16ACC"/>
    <w:rsid w:val="00E1722C"/>
    <w:rsid w:val="00E17D80"/>
    <w:rsid w:val="00E20D3B"/>
    <w:rsid w:val="00E217B6"/>
    <w:rsid w:val="00E228B0"/>
    <w:rsid w:val="00E24CBA"/>
    <w:rsid w:val="00E254E7"/>
    <w:rsid w:val="00E27BA3"/>
    <w:rsid w:val="00E329B9"/>
    <w:rsid w:val="00E3391C"/>
    <w:rsid w:val="00E34FA5"/>
    <w:rsid w:val="00E36497"/>
    <w:rsid w:val="00E365B4"/>
    <w:rsid w:val="00E36BCE"/>
    <w:rsid w:val="00E374D1"/>
    <w:rsid w:val="00E37DCE"/>
    <w:rsid w:val="00E41C65"/>
    <w:rsid w:val="00E452F5"/>
    <w:rsid w:val="00E453BD"/>
    <w:rsid w:val="00E45530"/>
    <w:rsid w:val="00E4718F"/>
    <w:rsid w:val="00E5137D"/>
    <w:rsid w:val="00E517AB"/>
    <w:rsid w:val="00E51C5B"/>
    <w:rsid w:val="00E51EAF"/>
    <w:rsid w:val="00E53016"/>
    <w:rsid w:val="00E5314A"/>
    <w:rsid w:val="00E53311"/>
    <w:rsid w:val="00E53458"/>
    <w:rsid w:val="00E5384D"/>
    <w:rsid w:val="00E53AD4"/>
    <w:rsid w:val="00E541AC"/>
    <w:rsid w:val="00E55921"/>
    <w:rsid w:val="00E6033E"/>
    <w:rsid w:val="00E61C25"/>
    <w:rsid w:val="00E630CE"/>
    <w:rsid w:val="00E64377"/>
    <w:rsid w:val="00E6445E"/>
    <w:rsid w:val="00E650A5"/>
    <w:rsid w:val="00E66A9B"/>
    <w:rsid w:val="00E6786D"/>
    <w:rsid w:val="00E70DF0"/>
    <w:rsid w:val="00E745FE"/>
    <w:rsid w:val="00E752F6"/>
    <w:rsid w:val="00E76884"/>
    <w:rsid w:val="00E7736A"/>
    <w:rsid w:val="00E7752E"/>
    <w:rsid w:val="00E77BB1"/>
    <w:rsid w:val="00E8128B"/>
    <w:rsid w:val="00E81C60"/>
    <w:rsid w:val="00E82A31"/>
    <w:rsid w:val="00E83A3E"/>
    <w:rsid w:val="00E8538C"/>
    <w:rsid w:val="00E864DA"/>
    <w:rsid w:val="00E866BC"/>
    <w:rsid w:val="00E869DF"/>
    <w:rsid w:val="00E87C9A"/>
    <w:rsid w:val="00E9000A"/>
    <w:rsid w:val="00E90D25"/>
    <w:rsid w:val="00E90E1E"/>
    <w:rsid w:val="00E9303E"/>
    <w:rsid w:val="00E9304B"/>
    <w:rsid w:val="00E932A6"/>
    <w:rsid w:val="00E94899"/>
    <w:rsid w:val="00E96F88"/>
    <w:rsid w:val="00E97140"/>
    <w:rsid w:val="00EA01D2"/>
    <w:rsid w:val="00EA04C3"/>
    <w:rsid w:val="00EA07FA"/>
    <w:rsid w:val="00EA1B76"/>
    <w:rsid w:val="00EA22CD"/>
    <w:rsid w:val="00EA36F1"/>
    <w:rsid w:val="00EA5892"/>
    <w:rsid w:val="00EA6007"/>
    <w:rsid w:val="00EA6A77"/>
    <w:rsid w:val="00EA6D5B"/>
    <w:rsid w:val="00EB00B1"/>
    <w:rsid w:val="00EB09AD"/>
    <w:rsid w:val="00EB0F00"/>
    <w:rsid w:val="00EB3313"/>
    <w:rsid w:val="00EB3A13"/>
    <w:rsid w:val="00EB3CFD"/>
    <w:rsid w:val="00EB4856"/>
    <w:rsid w:val="00EB491B"/>
    <w:rsid w:val="00EB4D62"/>
    <w:rsid w:val="00EC0774"/>
    <w:rsid w:val="00EC0FF1"/>
    <w:rsid w:val="00EC297B"/>
    <w:rsid w:val="00EC2B2B"/>
    <w:rsid w:val="00EC4640"/>
    <w:rsid w:val="00EC57EF"/>
    <w:rsid w:val="00EC5DEF"/>
    <w:rsid w:val="00ED0EAD"/>
    <w:rsid w:val="00ED1AC9"/>
    <w:rsid w:val="00ED1B69"/>
    <w:rsid w:val="00ED283F"/>
    <w:rsid w:val="00ED47AC"/>
    <w:rsid w:val="00ED54EC"/>
    <w:rsid w:val="00ED5E35"/>
    <w:rsid w:val="00ED6CA2"/>
    <w:rsid w:val="00ED7DEF"/>
    <w:rsid w:val="00EE027A"/>
    <w:rsid w:val="00EE0F00"/>
    <w:rsid w:val="00EE1AFD"/>
    <w:rsid w:val="00EE208C"/>
    <w:rsid w:val="00EE3881"/>
    <w:rsid w:val="00EE7D3F"/>
    <w:rsid w:val="00EF07DA"/>
    <w:rsid w:val="00EF0F87"/>
    <w:rsid w:val="00EF16D0"/>
    <w:rsid w:val="00EF1C88"/>
    <w:rsid w:val="00EF1D99"/>
    <w:rsid w:val="00EF3362"/>
    <w:rsid w:val="00EF3673"/>
    <w:rsid w:val="00EF60F6"/>
    <w:rsid w:val="00EF6599"/>
    <w:rsid w:val="00EF6D33"/>
    <w:rsid w:val="00F003E7"/>
    <w:rsid w:val="00F00949"/>
    <w:rsid w:val="00F02597"/>
    <w:rsid w:val="00F028F4"/>
    <w:rsid w:val="00F02A7C"/>
    <w:rsid w:val="00F033CE"/>
    <w:rsid w:val="00F03D67"/>
    <w:rsid w:val="00F04652"/>
    <w:rsid w:val="00F05983"/>
    <w:rsid w:val="00F070B5"/>
    <w:rsid w:val="00F1046D"/>
    <w:rsid w:val="00F11E0B"/>
    <w:rsid w:val="00F12C7D"/>
    <w:rsid w:val="00F12E88"/>
    <w:rsid w:val="00F208D2"/>
    <w:rsid w:val="00F21B2A"/>
    <w:rsid w:val="00F24C2F"/>
    <w:rsid w:val="00F25C3D"/>
    <w:rsid w:val="00F2604F"/>
    <w:rsid w:val="00F260B0"/>
    <w:rsid w:val="00F26FCA"/>
    <w:rsid w:val="00F27E50"/>
    <w:rsid w:val="00F27E79"/>
    <w:rsid w:val="00F27EC2"/>
    <w:rsid w:val="00F31042"/>
    <w:rsid w:val="00F31223"/>
    <w:rsid w:val="00F314B4"/>
    <w:rsid w:val="00F32BCC"/>
    <w:rsid w:val="00F34815"/>
    <w:rsid w:val="00F362FC"/>
    <w:rsid w:val="00F3719F"/>
    <w:rsid w:val="00F40AE2"/>
    <w:rsid w:val="00F40D5D"/>
    <w:rsid w:val="00F41791"/>
    <w:rsid w:val="00F41D77"/>
    <w:rsid w:val="00F42615"/>
    <w:rsid w:val="00F42B02"/>
    <w:rsid w:val="00F44F38"/>
    <w:rsid w:val="00F461A6"/>
    <w:rsid w:val="00F50AC7"/>
    <w:rsid w:val="00F5150A"/>
    <w:rsid w:val="00F51942"/>
    <w:rsid w:val="00F520F8"/>
    <w:rsid w:val="00F52BE2"/>
    <w:rsid w:val="00F53B0B"/>
    <w:rsid w:val="00F5556C"/>
    <w:rsid w:val="00F560EA"/>
    <w:rsid w:val="00F56533"/>
    <w:rsid w:val="00F608A9"/>
    <w:rsid w:val="00F608EB"/>
    <w:rsid w:val="00F60DC2"/>
    <w:rsid w:val="00F62446"/>
    <w:rsid w:val="00F65E65"/>
    <w:rsid w:val="00F67500"/>
    <w:rsid w:val="00F70E56"/>
    <w:rsid w:val="00F71A51"/>
    <w:rsid w:val="00F72F42"/>
    <w:rsid w:val="00F74195"/>
    <w:rsid w:val="00F754D3"/>
    <w:rsid w:val="00F759CA"/>
    <w:rsid w:val="00F75B1F"/>
    <w:rsid w:val="00F75DFB"/>
    <w:rsid w:val="00F7767B"/>
    <w:rsid w:val="00F808B7"/>
    <w:rsid w:val="00F80C71"/>
    <w:rsid w:val="00F80E19"/>
    <w:rsid w:val="00F8171A"/>
    <w:rsid w:val="00F82B39"/>
    <w:rsid w:val="00F83F1D"/>
    <w:rsid w:val="00F84BB4"/>
    <w:rsid w:val="00F858FE"/>
    <w:rsid w:val="00F85F86"/>
    <w:rsid w:val="00F85FEB"/>
    <w:rsid w:val="00F85FF6"/>
    <w:rsid w:val="00F861A1"/>
    <w:rsid w:val="00F862C5"/>
    <w:rsid w:val="00F86BC4"/>
    <w:rsid w:val="00F87219"/>
    <w:rsid w:val="00F8791B"/>
    <w:rsid w:val="00F906FC"/>
    <w:rsid w:val="00F91555"/>
    <w:rsid w:val="00F9244A"/>
    <w:rsid w:val="00F929E6"/>
    <w:rsid w:val="00F9361F"/>
    <w:rsid w:val="00F9601E"/>
    <w:rsid w:val="00F960AF"/>
    <w:rsid w:val="00F9739B"/>
    <w:rsid w:val="00FA0B69"/>
    <w:rsid w:val="00FA0CD0"/>
    <w:rsid w:val="00FA23D2"/>
    <w:rsid w:val="00FA5C57"/>
    <w:rsid w:val="00FA7ADA"/>
    <w:rsid w:val="00FA7C86"/>
    <w:rsid w:val="00FB0DC9"/>
    <w:rsid w:val="00FB281A"/>
    <w:rsid w:val="00FB2F16"/>
    <w:rsid w:val="00FB3B8D"/>
    <w:rsid w:val="00FB3BE7"/>
    <w:rsid w:val="00FB3FBE"/>
    <w:rsid w:val="00FB4174"/>
    <w:rsid w:val="00FB4904"/>
    <w:rsid w:val="00FB5631"/>
    <w:rsid w:val="00FB5CED"/>
    <w:rsid w:val="00FB6A51"/>
    <w:rsid w:val="00FB6BDE"/>
    <w:rsid w:val="00FC100F"/>
    <w:rsid w:val="00FC3A5B"/>
    <w:rsid w:val="00FC41DD"/>
    <w:rsid w:val="00FC4766"/>
    <w:rsid w:val="00FC4F57"/>
    <w:rsid w:val="00FC57AC"/>
    <w:rsid w:val="00FD0AC7"/>
    <w:rsid w:val="00FD22F6"/>
    <w:rsid w:val="00FD26C0"/>
    <w:rsid w:val="00FD341B"/>
    <w:rsid w:val="00FD71FA"/>
    <w:rsid w:val="00FD731A"/>
    <w:rsid w:val="00FE0609"/>
    <w:rsid w:val="00FE079B"/>
    <w:rsid w:val="00FE1954"/>
    <w:rsid w:val="00FE1A50"/>
    <w:rsid w:val="00FE4021"/>
    <w:rsid w:val="00FE4246"/>
    <w:rsid w:val="00FE4772"/>
    <w:rsid w:val="00FE5D7D"/>
    <w:rsid w:val="00FE6266"/>
    <w:rsid w:val="00FF12ED"/>
    <w:rsid w:val="00FF1A70"/>
    <w:rsid w:val="00FF2451"/>
    <w:rsid w:val="00FF3030"/>
    <w:rsid w:val="00FF7AE0"/>
    <w:rsid w:val="043F1D0F"/>
    <w:rsid w:val="052169EC"/>
    <w:rsid w:val="0E693E3E"/>
    <w:rsid w:val="12B26792"/>
    <w:rsid w:val="185B3D73"/>
    <w:rsid w:val="1DF555E5"/>
    <w:rsid w:val="1EBA4559"/>
    <w:rsid w:val="24C934F5"/>
    <w:rsid w:val="25A62E1D"/>
    <w:rsid w:val="274C6F98"/>
    <w:rsid w:val="33754F28"/>
    <w:rsid w:val="3AA77F2D"/>
    <w:rsid w:val="405E2A75"/>
    <w:rsid w:val="4E26739A"/>
    <w:rsid w:val="55DE4E85"/>
    <w:rsid w:val="58040371"/>
    <w:rsid w:val="5A9725E0"/>
    <w:rsid w:val="5CE54C85"/>
    <w:rsid w:val="5EFC47C1"/>
    <w:rsid w:val="783D6065"/>
    <w:rsid w:val="7BE76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仿宋" w:cs="Times New Roman"/>
      <w:kern w:val="2"/>
      <w:sz w:val="24"/>
      <w:szCs w:val="24"/>
      <w:lang w:val="en-US" w:eastAsia="zh-CN" w:bidi="ar-SA"/>
    </w:rPr>
  </w:style>
  <w:style w:type="paragraph" w:styleId="2">
    <w:name w:val="heading 1"/>
    <w:basedOn w:val="1"/>
    <w:next w:val="1"/>
    <w:link w:val="58"/>
    <w:qFormat/>
    <w:uiPriority w:val="9"/>
    <w:pPr>
      <w:keepLines/>
      <w:pageBreakBefore/>
      <w:adjustRightInd w:val="0"/>
      <w:snapToGrid w:val="0"/>
      <w:spacing w:before="280" w:after="280"/>
      <w:ind w:firstLine="0" w:firstLineChars="0"/>
      <w:jc w:val="center"/>
      <w:outlineLvl w:val="0"/>
    </w:pPr>
    <w:rPr>
      <w:b/>
      <w:caps/>
      <w:color w:val="000000"/>
      <w:spacing w:val="20"/>
      <w:kern w:val="44"/>
      <w:sz w:val="32"/>
      <w:szCs w:val="32"/>
    </w:rPr>
  </w:style>
  <w:style w:type="paragraph" w:styleId="3">
    <w:name w:val="heading 2"/>
    <w:basedOn w:val="1"/>
    <w:next w:val="1"/>
    <w:link w:val="27"/>
    <w:qFormat/>
    <w:uiPriority w:val="9"/>
    <w:pPr>
      <w:pBdr>
        <w:bottom w:val="single" w:color="622423" w:sz="4" w:space="1"/>
      </w:pBdr>
      <w:spacing w:before="120" w:after="120"/>
      <w:ind w:firstLine="0" w:firstLineChars="0"/>
      <w:jc w:val="left"/>
      <w:outlineLvl w:val="1"/>
    </w:pPr>
    <w:rPr>
      <w:rFonts w:ascii="仿宋_GB2312" w:hAnsi="仿宋_GB2312" w:eastAsia="宋体"/>
      <w:b/>
      <w:caps/>
      <w:color w:val="000000"/>
      <w:spacing w:val="15"/>
      <w:kern w:val="44"/>
      <w:szCs w:val="28"/>
    </w:rPr>
  </w:style>
  <w:style w:type="paragraph" w:styleId="4">
    <w:name w:val="heading 3"/>
    <w:basedOn w:val="1"/>
    <w:next w:val="1"/>
    <w:link w:val="28"/>
    <w:qFormat/>
    <w:uiPriority w:val="9"/>
    <w:pPr>
      <w:pBdr>
        <w:bottom w:val="dotted" w:color="622423" w:sz="4" w:space="1"/>
      </w:pBdr>
      <w:spacing w:before="120" w:after="160"/>
      <w:ind w:left="240" w:leftChars="100" w:firstLine="0" w:firstLineChars="0"/>
      <w:jc w:val="left"/>
      <w:outlineLvl w:val="2"/>
    </w:pPr>
    <w:rPr>
      <w:rFonts w:eastAsia="宋体"/>
      <w:b/>
      <w:caps/>
      <w:color w:val="000000" w:themeColor="text1"/>
      <w:szCs w:val="28"/>
    </w:rPr>
  </w:style>
  <w:style w:type="paragraph" w:styleId="5">
    <w:name w:val="heading 4"/>
    <w:basedOn w:val="1"/>
    <w:next w:val="1"/>
    <w:qFormat/>
    <w:uiPriority w:val="9"/>
    <w:pPr>
      <w:pBdr>
        <w:bottom w:val="dotted" w:color="943634" w:sz="4" w:space="1"/>
      </w:pBdr>
      <w:spacing w:line="440" w:lineRule="exact"/>
      <w:jc w:val="left"/>
      <w:outlineLvl w:val="3"/>
    </w:pPr>
    <w:rPr>
      <w:caps/>
      <w:color w:val="622423"/>
      <w:spacing w:val="10"/>
    </w:rPr>
  </w:style>
  <w:style w:type="paragraph" w:styleId="6">
    <w:name w:val="heading 5"/>
    <w:basedOn w:val="1"/>
    <w:next w:val="1"/>
    <w:qFormat/>
    <w:uiPriority w:val="9"/>
    <w:pPr>
      <w:spacing w:before="320" w:after="120"/>
      <w:jc w:val="center"/>
      <w:outlineLvl w:val="4"/>
    </w:pPr>
    <w:rPr>
      <w:caps/>
      <w:color w:val="622423"/>
      <w:spacing w:val="10"/>
    </w:rPr>
  </w:style>
  <w:style w:type="paragraph" w:styleId="7">
    <w:name w:val="heading 6"/>
    <w:basedOn w:val="1"/>
    <w:next w:val="1"/>
    <w:qFormat/>
    <w:uiPriority w:val="9"/>
    <w:pPr>
      <w:spacing w:after="120"/>
      <w:jc w:val="center"/>
      <w:outlineLvl w:val="5"/>
    </w:pPr>
    <w:rPr>
      <w:caps/>
      <w:color w:val="943634"/>
      <w:spacing w:val="10"/>
    </w:rPr>
  </w:style>
  <w:style w:type="paragraph" w:styleId="8">
    <w:name w:val="heading 7"/>
    <w:basedOn w:val="1"/>
    <w:next w:val="1"/>
    <w:qFormat/>
    <w:uiPriority w:val="9"/>
    <w:pPr>
      <w:spacing w:after="120"/>
      <w:jc w:val="center"/>
      <w:outlineLvl w:val="6"/>
    </w:pPr>
    <w:rPr>
      <w:i/>
      <w:iCs/>
      <w:caps/>
      <w:color w:val="943634"/>
      <w:spacing w:val="10"/>
    </w:rPr>
  </w:style>
  <w:style w:type="paragraph" w:styleId="9">
    <w:name w:val="heading 8"/>
    <w:basedOn w:val="1"/>
    <w:next w:val="1"/>
    <w:qFormat/>
    <w:uiPriority w:val="9"/>
    <w:pPr>
      <w:spacing w:after="120"/>
      <w:jc w:val="center"/>
      <w:outlineLvl w:val="7"/>
    </w:pPr>
    <w:rPr>
      <w:caps/>
      <w:spacing w:val="10"/>
      <w:sz w:val="20"/>
      <w:szCs w:val="20"/>
    </w:rPr>
  </w:style>
  <w:style w:type="paragraph" w:styleId="10">
    <w:name w:val="heading 9"/>
    <w:basedOn w:val="1"/>
    <w:next w:val="1"/>
    <w:qFormat/>
    <w:uiPriority w:val="9"/>
    <w:pPr>
      <w:spacing w:after="120"/>
      <w:jc w:val="center"/>
      <w:outlineLvl w:val="8"/>
    </w:pPr>
    <w:rPr>
      <w:i/>
      <w:iCs/>
      <w:caps/>
      <w:spacing w:val="10"/>
      <w:sz w:val="20"/>
      <w:szCs w:val="20"/>
    </w:rPr>
  </w:style>
  <w:style w:type="character" w:default="1" w:styleId="20">
    <w:name w:val="Default Paragraph Font"/>
    <w:semiHidden/>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11">
    <w:name w:val="caption"/>
    <w:basedOn w:val="1"/>
    <w:next w:val="1"/>
    <w:qFormat/>
    <w:uiPriority w:val="35"/>
    <w:rPr>
      <w:caps/>
      <w:spacing w:val="10"/>
      <w:sz w:val="18"/>
      <w:szCs w:val="18"/>
    </w:rPr>
  </w:style>
  <w:style w:type="paragraph" w:styleId="12">
    <w:name w:val="Body Text"/>
    <w:basedOn w:val="1"/>
    <w:qFormat/>
    <w:uiPriority w:val="0"/>
    <w:pPr>
      <w:suppressAutoHyphens/>
      <w:spacing w:after="140" w:line="288" w:lineRule="auto"/>
      <w:ind w:firstLine="0" w:firstLineChars="0"/>
    </w:pPr>
    <w:rPr>
      <w:rFonts w:eastAsia="仿宋_GB2312"/>
      <w:kern w:val="1"/>
    </w:rPr>
  </w:style>
  <w:style w:type="paragraph" w:styleId="13">
    <w:name w:val="toc 3"/>
    <w:basedOn w:val="1"/>
    <w:next w:val="1"/>
    <w:qFormat/>
    <w:uiPriority w:val="39"/>
    <w:pPr>
      <w:ind w:left="840" w:leftChars="400"/>
    </w:pPr>
  </w:style>
  <w:style w:type="paragraph" w:styleId="14">
    <w:name w:val="Balloon Text"/>
    <w:basedOn w:val="1"/>
    <w:link w:val="45"/>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9174"/>
      </w:tabs>
      <w:ind w:firstLine="0" w:firstLineChars="0"/>
    </w:pPr>
    <w:rPr>
      <w:rFonts w:eastAsia="仿宋_GB2312"/>
    </w:rPr>
  </w:style>
  <w:style w:type="paragraph" w:styleId="18">
    <w:name w:val="toc 2"/>
    <w:basedOn w:val="1"/>
    <w:next w:val="1"/>
    <w:qFormat/>
    <w:uiPriority w:val="39"/>
    <w:pPr>
      <w:tabs>
        <w:tab w:val="right" w:leader="dot" w:pos="9174"/>
      </w:tabs>
      <w:ind w:left="200" w:leftChars="200" w:firstLine="0" w:firstLineChars="0"/>
    </w:pPr>
    <w:rPr>
      <w:rFonts w:eastAsia="仿宋_GB2312"/>
    </w:rPr>
  </w:style>
  <w:style w:type="paragraph" w:styleId="19">
    <w:name w:val="Title"/>
    <w:basedOn w:val="1"/>
    <w:next w:val="1"/>
    <w:qFormat/>
    <w:uiPriority w:val="0"/>
    <w:pPr>
      <w:spacing w:before="240" w:after="60"/>
      <w:jc w:val="center"/>
      <w:outlineLvl w:val="0"/>
    </w:pPr>
    <w:rPr>
      <w:rFonts w:ascii="Calibri Light" w:hAnsi="Calibri Light" w:cs="Times New Roman"/>
      <w:b/>
      <w:bCs/>
      <w:sz w:val="32"/>
      <w:szCs w:val="32"/>
    </w:rPr>
  </w:style>
  <w:style w:type="character" w:styleId="21">
    <w:name w:val="Strong"/>
    <w:qFormat/>
    <w:uiPriority w:val="22"/>
    <w:rPr>
      <w:b/>
      <w:bCs/>
      <w:color w:val="943634"/>
      <w:spacing w:val="5"/>
    </w:rPr>
  </w:style>
  <w:style w:type="character" w:styleId="22">
    <w:name w:val="page number"/>
    <w:basedOn w:val="20"/>
    <w:qFormat/>
    <w:uiPriority w:val="0"/>
  </w:style>
  <w:style w:type="character" w:styleId="23">
    <w:name w:val="Emphasis"/>
    <w:qFormat/>
    <w:uiPriority w:val="20"/>
    <w:rPr>
      <w:caps/>
      <w:spacing w:val="5"/>
      <w:sz w:val="20"/>
      <w:szCs w:val="20"/>
    </w:rPr>
  </w:style>
  <w:style w:type="character" w:styleId="24">
    <w:name w:val="Hyperlink"/>
    <w:basedOn w:val="20"/>
    <w:unhideWhenUsed/>
    <w:qFormat/>
    <w:uiPriority w:val="99"/>
    <w:rPr>
      <w:color w:val="0000FF"/>
      <w:u w:val="single"/>
    </w:rPr>
  </w:style>
  <w:style w:type="table" w:styleId="26">
    <w:name w:val="Table Grid"/>
    <w:basedOn w:val="25"/>
    <w:qFormat/>
    <w:uiPriority w:val="0"/>
    <w:pPr>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7">
    <w:name w:val="标题 2 Char"/>
    <w:basedOn w:val="20"/>
    <w:link w:val="3"/>
    <w:qFormat/>
    <w:uiPriority w:val="9"/>
    <w:rPr>
      <w:rFonts w:ascii="仿宋_GB2312" w:hAnsi="仿宋_GB2312" w:eastAsia="宋体"/>
      <w:b/>
      <w:caps/>
      <w:color w:val="000000"/>
      <w:spacing w:val="15"/>
      <w:kern w:val="44"/>
      <w:sz w:val="24"/>
      <w:szCs w:val="28"/>
      <w:lang w:val="en-US" w:eastAsia="zh-CN" w:bidi="ar-SA"/>
    </w:rPr>
  </w:style>
  <w:style w:type="character" w:customStyle="1" w:styleId="28">
    <w:name w:val="标题 3 Char"/>
    <w:basedOn w:val="20"/>
    <w:link w:val="4"/>
    <w:qFormat/>
    <w:locked/>
    <w:uiPriority w:val="9"/>
    <w:rPr>
      <w:rFonts w:ascii="Times New Roman" w:hAnsi="Times New Roman" w:eastAsia="宋体"/>
      <w:b/>
      <w:caps/>
      <w:color w:val="000000" w:themeColor="text1"/>
      <w:kern w:val="2"/>
      <w:sz w:val="24"/>
      <w:szCs w:val="28"/>
    </w:rPr>
  </w:style>
  <w:style w:type="paragraph" w:styleId="29">
    <w:name w:val="No Spacing"/>
    <w:basedOn w:val="1"/>
    <w:link w:val="30"/>
    <w:qFormat/>
    <w:uiPriority w:val="1"/>
  </w:style>
  <w:style w:type="character" w:customStyle="1" w:styleId="30">
    <w:name w:val="无间隔 Char"/>
    <w:basedOn w:val="20"/>
    <w:link w:val="29"/>
    <w:qFormat/>
    <w:uiPriority w:val="1"/>
  </w:style>
  <w:style w:type="paragraph" w:styleId="31">
    <w:name w:val="List Paragraph"/>
    <w:basedOn w:val="1"/>
    <w:qFormat/>
    <w:uiPriority w:val="34"/>
    <w:pPr>
      <w:ind w:left="720"/>
      <w:contextualSpacing/>
    </w:pPr>
  </w:style>
  <w:style w:type="paragraph" w:styleId="32">
    <w:name w:val="Intense Quote"/>
    <w:basedOn w:val="1"/>
    <w:next w:val="1"/>
    <w:link w:val="33"/>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33">
    <w:name w:val="明显引用 Char"/>
    <w:basedOn w:val="20"/>
    <w:link w:val="32"/>
    <w:qFormat/>
    <w:uiPriority w:val="30"/>
    <w:rPr>
      <w:rFonts w:eastAsia="宋体" w:cs="Times New Roman"/>
      <w:caps/>
      <w:color w:val="622423"/>
      <w:spacing w:val="5"/>
      <w:sz w:val="20"/>
      <w:szCs w:val="20"/>
    </w:rPr>
  </w:style>
  <w:style w:type="character" w:customStyle="1" w:styleId="34">
    <w:name w:val="不明显强调1"/>
    <w:qFormat/>
    <w:uiPriority w:val="19"/>
    <w:rPr>
      <w:i/>
      <w:iCs/>
    </w:rPr>
  </w:style>
  <w:style w:type="character" w:customStyle="1" w:styleId="35">
    <w:name w:val="明显强调1"/>
    <w:qFormat/>
    <w:uiPriority w:val="21"/>
    <w:rPr>
      <w:i/>
      <w:iCs/>
      <w:caps/>
      <w:spacing w:val="10"/>
      <w:sz w:val="20"/>
      <w:szCs w:val="20"/>
    </w:rPr>
  </w:style>
  <w:style w:type="character" w:customStyle="1" w:styleId="36">
    <w:name w:val="不明显参考1"/>
    <w:basedOn w:val="20"/>
    <w:qFormat/>
    <w:uiPriority w:val="31"/>
    <w:rPr>
      <w:rFonts w:ascii="Calibri" w:hAnsi="Calibri" w:eastAsia="宋体" w:cs="Times New Roman"/>
      <w:i/>
      <w:iCs/>
      <w:color w:val="622423"/>
    </w:rPr>
  </w:style>
  <w:style w:type="character" w:customStyle="1" w:styleId="37">
    <w:name w:val="明显参考1"/>
    <w:qFormat/>
    <w:uiPriority w:val="32"/>
    <w:rPr>
      <w:rFonts w:ascii="Calibri" w:hAnsi="Calibri" w:eastAsia="宋体" w:cs="Times New Roman"/>
      <w:b/>
      <w:bCs/>
      <w:i/>
      <w:iCs/>
      <w:color w:val="622423"/>
    </w:rPr>
  </w:style>
  <w:style w:type="character" w:customStyle="1" w:styleId="38">
    <w:name w:val="书籍标题1"/>
    <w:qFormat/>
    <w:uiPriority w:val="33"/>
    <w:rPr>
      <w:caps/>
      <w:color w:val="622423"/>
      <w:spacing w:val="5"/>
      <w:u w:color="622423"/>
    </w:rPr>
  </w:style>
  <w:style w:type="paragraph" w:customStyle="1" w:styleId="39">
    <w:name w:val="样式1"/>
    <w:basedOn w:val="1"/>
    <w:qFormat/>
    <w:uiPriority w:val="0"/>
    <w:pPr>
      <w:ind w:firstLine="0" w:firstLineChars="0"/>
    </w:pPr>
  </w:style>
  <w:style w:type="paragraph" w:customStyle="1" w:styleId="40">
    <w:name w:val="样式2"/>
    <w:basedOn w:val="1"/>
    <w:qFormat/>
    <w:uiPriority w:val="0"/>
    <w:pPr>
      <w:ind w:firstLine="0" w:firstLineChars="0"/>
    </w:pPr>
  </w:style>
  <w:style w:type="paragraph" w:customStyle="1" w:styleId="41">
    <w:name w:val="样式 标题 2 + 左侧:  1 字符 首行缩进:  2 字符"/>
    <w:basedOn w:val="3"/>
    <w:qFormat/>
    <w:uiPriority w:val="0"/>
    <w:pPr>
      <w:keepNext/>
      <w:keepLines/>
      <w:pBdr>
        <w:bottom w:val="none" w:color="auto" w:sz="0" w:space="0"/>
      </w:pBdr>
      <w:topLinePunct/>
      <w:spacing w:line="240" w:lineRule="atLeast"/>
      <w:ind w:left="240" w:leftChars="100" w:firstLine="643"/>
      <w:jc w:val="both"/>
    </w:pPr>
    <w:rPr>
      <w:b w:val="0"/>
      <w:bCs/>
      <w:caps w:val="0"/>
      <w:color w:val="auto"/>
      <w:spacing w:val="0"/>
      <w:sz w:val="32"/>
      <w:szCs w:val="32"/>
    </w:rPr>
  </w:style>
  <w:style w:type="paragraph" w:customStyle="1" w:styleId="42">
    <w:name w:val="Char"/>
    <w:basedOn w:val="5"/>
    <w:qFormat/>
    <w:uiPriority w:val="0"/>
    <w:pPr>
      <w:keepNext/>
      <w:keepLines/>
      <w:widowControl/>
      <w:pBdr>
        <w:bottom w:val="none" w:color="auto" w:sz="0" w:space="0"/>
      </w:pBdr>
      <w:tabs>
        <w:tab w:val="left" w:pos="3000"/>
      </w:tabs>
      <w:adjustRightInd w:val="0"/>
      <w:snapToGrid w:val="0"/>
      <w:spacing w:beforeLines="100" w:afterLines="50"/>
      <w:ind w:firstLine="627"/>
      <w:outlineLvl w:val="1"/>
    </w:pPr>
    <w:rPr>
      <w:rFonts w:ascii="Arial" w:hAnsi="宋体" w:cs="Arial"/>
      <w:b/>
      <w:caps w:val="0"/>
      <w:color w:val="auto"/>
      <w:spacing w:val="-4"/>
      <w:sz w:val="32"/>
      <w:szCs w:val="32"/>
      <w:lang w:val="en-AU"/>
    </w:rPr>
  </w:style>
  <w:style w:type="paragraph" w:customStyle="1" w:styleId="43">
    <w:name w:val="样式4"/>
    <w:basedOn w:val="3"/>
    <w:link w:val="44"/>
    <w:qFormat/>
    <w:uiPriority w:val="0"/>
    <w:pPr>
      <w:keepNext/>
      <w:keepLines/>
      <w:pBdr>
        <w:bottom w:val="none" w:color="auto" w:sz="0" w:space="0"/>
      </w:pBdr>
      <w:adjustRightInd w:val="0"/>
      <w:spacing w:before="0" w:line="500" w:lineRule="exact"/>
      <w:jc w:val="both"/>
      <w:textAlignment w:val="baseline"/>
    </w:pPr>
    <w:rPr>
      <w:rFonts w:ascii="宋体" w:hAnsi="宋体" w:cs="宋体"/>
      <w:bCs/>
      <w:caps w:val="0"/>
      <w:color w:val="auto"/>
      <w:spacing w:val="0"/>
      <w:kern w:val="0"/>
    </w:rPr>
  </w:style>
  <w:style w:type="character" w:customStyle="1" w:styleId="44">
    <w:name w:val="样式4 Char"/>
    <w:basedOn w:val="20"/>
    <w:link w:val="43"/>
    <w:qFormat/>
    <w:locked/>
    <w:uiPriority w:val="0"/>
    <w:rPr>
      <w:rFonts w:ascii="宋体" w:eastAsia="楷体_GB2312" w:cs="宋体"/>
      <w:bCs/>
      <w:sz w:val="24"/>
      <w:szCs w:val="24"/>
      <w:lang w:val="en-US"/>
    </w:rPr>
  </w:style>
  <w:style w:type="character" w:customStyle="1" w:styleId="45">
    <w:name w:val="批注框文本 Char"/>
    <w:basedOn w:val="20"/>
    <w:link w:val="14"/>
    <w:qFormat/>
    <w:uiPriority w:val="0"/>
    <w:rPr>
      <w:rFonts w:ascii="Times New Roman" w:hAnsi="Times New Roman" w:eastAsia="楷体_GB2312"/>
      <w:sz w:val="18"/>
      <w:szCs w:val="18"/>
    </w:rPr>
  </w:style>
  <w:style w:type="paragraph" w:customStyle="1" w:styleId="46">
    <w:name w:val="标注"/>
    <w:basedOn w:val="1"/>
    <w:link w:val="47"/>
    <w:qFormat/>
    <w:uiPriority w:val="0"/>
    <w:pPr>
      <w:ind w:firstLine="0" w:firstLineChars="0"/>
      <w:jc w:val="center"/>
    </w:pPr>
    <w:rPr>
      <w:color w:val="000000"/>
      <w:sz w:val="21"/>
      <w:szCs w:val="21"/>
    </w:rPr>
  </w:style>
  <w:style w:type="character" w:customStyle="1" w:styleId="47">
    <w:name w:val="标注 Char"/>
    <w:basedOn w:val="20"/>
    <w:link w:val="46"/>
    <w:qFormat/>
    <w:uiPriority w:val="0"/>
    <w:rPr>
      <w:rFonts w:eastAsia="楷体_GB2312"/>
      <w:color w:val="000000"/>
      <w:kern w:val="2"/>
      <w:sz w:val="21"/>
      <w:szCs w:val="21"/>
      <w:lang w:val="en-US" w:eastAsia="zh-CN" w:bidi="ar-SA"/>
    </w:rPr>
  </w:style>
  <w:style w:type="paragraph" w:customStyle="1" w:styleId="48">
    <w:name w:val="样式 黑色 行距: 固定值 22 磅"/>
    <w:basedOn w:val="1"/>
    <w:qFormat/>
    <w:uiPriority w:val="0"/>
    <w:pPr>
      <w:spacing w:line="440" w:lineRule="exact"/>
      <w:ind w:firstLine="0" w:firstLineChars="0"/>
    </w:pPr>
    <w:rPr>
      <w:rFonts w:cs="宋体"/>
    </w:rPr>
  </w:style>
  <w:style w:type="paragraph" w:customStyle="1" w:styleId="49">
    <w:name w:val="样式 目录 3 + 左侧:  4 字符 首行缩进:  2 字符"/>
    <w:basedOn w:val="13"/>
    <w:qFormat/>
    <w:uiPriority w:val="0"/>
    <w:pPr>
      <w:ind w:left="400"/>
    </w:pPr>
    <w:rPr>
      <w:rFonts w:eastAsia="仿宋_GB2312" w:cs="宋体"/>
      <w:szCs w:val="20"/>
    </w:rPr>
  </w:style>
  <w:style w:type="paragraph" w:customStyle="1" w:styleId="50">
    <w:name w:val="样式 目录 2 + 左侧:  2 字符"/>
    <w:basedOn w:val="18"/>
    <w:qFormat/>
    <w:uiPriority w:val="0"/>
    <w:rPr>
      <w:rFonts w:cs="宋体"/>
      <w:szCs w:val="20"/>
    </w:rPr>
  </w:style>
  <w:style w:type="paragraph" w:customStyle="1" w:styleId="51">
    <w:name w:val="样式 目录 2 + 左侧:  2 字符1"/>
    <w:basedOn w:val="18"/>
    <w:qFormat/>
    <w:uiPriority w:val="0"/>
    <w:rPr>
      <w:rFonts w:cs="宋体"/>
      <w:szCs w:val="20"/>
    </w:rPr>
  </w:style>
  <w:style w:type="paragraph" w:customStyle="1" w:styleId="52">
    <w:name w:val="样式 目录 3 + 左侧:  4 字符 首行缩进:  2 字符1"/>
    <w:basedOn w:val="13"/>
    <w:qFormat/>
    <w:uiPriority w:val="0"/>
    <w:pPr>
      <w:ind w:left="100" w:leftChars="100" w:firstLine="0" w:firstLineChars="0"/>
    </w:pPr>
    <w:rPr>
      <w:rFonts w:eastAsia="仿宋_GB2312" w:cs="宋体"/>
      <w:szCs w:val="20"/>
    </w:rPr>
  </w:style>
  <w:style w:type="paragraph" w:customStyle="1" w:styleId="53">
    <w:name w:val="样式 目录 2 + 左侧:  2 字符2"/>
    <w:basedOn w:val="18"/>
    <w:qFormat/>
    <w:uiPriority w:val="0"/>
    <w:rPr>
      <w:rFonts w:cs="宋体"/>
      <w:szCs w:val="20"/>
    </w:rPr>
  </w:style>
  <w:style w:type="paragraph" w:customStyle="1" w:styleId="54">
    <w:name w:val="样式 目录 3 + 左侧:  4 字符 首行缩进:  2 字符2"/>
    <w:basedOn w:val="13"/>
    <w:qFormat/>
    <w:uiPriority w:val="0"/>
    <w:pPr>
      <w:ind w:left="200" w:leftChars="200" w:firstLine="0" w:firstLineChars="0"/>
    </w:pPr>
    <w:rPr>
      <w:rFonts w:eastAsia="仿宋_GB2312" w:cs="宋体"/>
      <w:szCs w:val="20"/>
    </w:rPr>
  </w:style>
  <w:style w:type="paragraph" w:customStyle="1" w:styleId="55">
    <w:name w:val="TOC 标题1"/>
    <w:basedOn w:val="2"/>
    <w:next w:val="1"/>
    <w:unhideWhenUsed/>
    <w:qFormat/>
    <w:uiPriority w:val="39"/>
    <w:pPr>
      <w:keepNext/>
      <w:pageBreakBefore w:val="0"/>
      <w:widowControl/>
      <w:adjustRightInd/>
      <w:snapToGrid/>
      <w:spacing w:before="240" w:after="0" w:line="259" w:lineRule="auto"/>
      <w:jc w:val="left"/>
      <w:outlineLvl w:val="9"/>
    </w:pPr>
    <w:rPr>
      <w:rFonts w:asciiTheme="majorHAnsi" w:hAnsiTheme="majorHAnsi" w:eastAsiaTheme="majorEastAsia" w:cstheme="majorBidi"/>
      <w:b w:val="0"/>
      <w:caps w:val="0"/>
      <w:color w:val="366091" w:themeColor="accent1" w:themeShade="BF"/>
      <w:spacing w:val="0"/>
      <w:kern w:val="0"/>
    </w:rPr>
  </w:style>
  <w:style w:type="paragraph" w:customStyle="1" w:styleId="56">
    <w:name w:val="WPSOffice手动目录 1"/>
    <w:qFormat/>
    <w:uiPriority w:val="0"/>
    <w:rPr>
      <w:rFonts w:ascii="Cambria" w:hAnsi="Cambria" w:eastAsia="宋体" w:cs="Times New Roman"/>
      <w:lang w:val="en-US" w:eastAsia="zh-CN" w:bidi="ar-SA"/>
    </w:rPr>
  </w:style>
  <w:style w:type="paragraph" w:customStyle="1" w:styleId="57">
    <w:name w:val="WPSOffice手动目录 2"/>
    <w:qFormat/>
    <w:uiPriority w:val="0"/>
    <w:pPr>
      <w:ind w:left="200" w:leftChars="200"/>
    </w:pPr>
    <w:rPr>
      <w:rFonts w:ascii="Cambria" w:hAnsi="Cambria" w:eastAsia="宋体" w:cs="Times New Roman"/>
      <w:lang w:val="en-US" w:eastAsia="zh-CN" w:bidi="ar-SA"/>
    </w:rPr>
  </w:style>
  <w:style w:type="character" w:customStyle="1" w:styleId="58">
    <w:name w:val="标题 1 Char"/>
    <w:link w:val="2"/>
    <w:qFormat/>
    <w:uiPriority w:val="9"/>
    <w:rPr>
      <w:b/>
      <w:caps/>
      <w:color w:val="000000"/>
      <w:spacing w:val="20"/>
      <w:kern w:val="44"/>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0"/>
    <customShpInfo spid="_x0000_s2061"/>
    <customShpInfo spid="_x0000_s2052"/>
    <customShpInfo spid="_x0000_s2057"/>
    <customShpInfo spid="_x0000_s2053"/>
    <customShpInfo spid="_x0000_s2054"/>
    <customShpInfo spid="_x0000_s156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35A1B7-66A6-4287-8FDA-00FEDD454DF6}">
  <ds:schemaRefs/>
</ds:datastoreItem>
</file>

<file path=docProps/app.xml><?xml version="1.0" encoding="utf-8"?>
<Properties xmlns="http://schemas.openxmlformats.org/officeDocument/2006/extended-properties" xmlns:vt="http://schemas.openxmlformats.org/officeDocument/2006/docPropsVTypes">
  <Template>Normal</Template>
  <Company>Micosoft</Company>
  <Pages>45</Pages>
  <Words>1978</Words>
  <Characters>11279</Characters>
  <Lines>93</Lines>
  <Paragraphs>26</Paragraphs>
  <TotalTime>23</TotalTime>
  <ScaleCrop>false</ScaleCrop>
  <LinksUpToDate>false</LinksUpToDate>
  <CharactersWithSpaces>13231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2016-09-16T09:22:00Z</dcterms:created>
  <dc:creator>Love China</dc:creator>
  <cp:lastModifiedBy>Administrator</cp:lastModifiedBy>
  <cp:lastPrinted>2020-09-23T06:03:26Z</cp:lastPrinted>
  <dcterms:modified xsi:type="dcterms:W3CDTF">2020-09-23T06:14:06Z</dcterms:modified>
  <dc:title>1</dc:title>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